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CFC460" w14:textId="549EA3F7" w:rsidR="006F7EFD" w:rsidRPr="00C41855" w:rsidRDefault="006F7EFD" w:rsidP="006F7EFD">
      <w:pPr>
        <w:pStyle w:val="CRCoverPage"/>
        <w:tabs>
          <w:tab w:val="right" w:pos="9639"/>
        </w:tabs>
        <w:spacing w:after="0"/>
        <w:jc w:val="both"/>
        <w:rPr>
          <w:b/>
          <w:sz w:val="24"/>
          <w:szCs w:val="24"/>
          <w:lang w:val="de-DE" w:eastAsia="ko-KR"/>
        </w:rPr>
      </w:pPr>
      <w:r w:rsidRPr="00C41855">
        <w:rPr>
          <w:b/>
          <w:sz w:val="24"/>
          <w:szCs w:val="24"/>
        </w:rPr>
        <w:t xml:space="preserve">3GPP TSG RAN WG1 </w:t>
      </w:r>
      <w:r w:rsidR="00292F8D" w:rsidRPr="00C41855">
        <w:rPr>
          <w:rFonts w:hint="eastAsia"/>
          <w:b/>
          <w:sz w:val="24"/>
          <w:szCs w:val="24"/>
          <w:lang w:eastAsia="ko-KR"/>
        </w:rPr>
        <w:t>#10</w:t>
      </w:r>
      <w:r w:rsidR="00AC6EB3">
        <w:rPr>
          <w:b/>
          <w:sz w:val="24"/>
          <w:szCs w:val="24"/>
          <w:lang w:eastAsia="ko-KR"/>
        </w:rPr>
        <w:t>3e</w:t>
      </w:r>
      <w:r w:rsidRPr="00C41855">
        <w:rPr>
          <w:rFonts w:hint="eastAsia"/>
          <w:b/>
          <w:sz w:val="24"/>
          <w:szCs w:val="24"/>
        </w:rPr>
        <w:tab/>
      </w:r>
      <w:r w:rsidR="0091640D" w:rsidRPr="0091640D">
        <w:rPr>
          <w:b/>
          <w:sz w:val="24"/>
          <w:szCs w:val="24"/>
        </w:rPr>
        <w:t>R1-20</w:t>
      </w:r>
      <w:r w:rsidR="00167316">
        <w:rPr>
          <w:b/>
          <w:sz w:val="24"/>
          <w:szCs w:val="24"/>
        </w:rPr>
        <w:t>08</w:t>
      </w:r>
      <w:r w:rsidR="00E53F67">
        <w:rPr>
          <w:b/>
          <w:sz w:val="24"/>
          <w:szCs w:val="24"/>
        </w:rPr>
        <w:t>308</w:t>
      </w:r>
    </w:p>
    <w:p w14:paraId="12AD8480" w14:textId="68038A09" w:rsidR="000C76CE" w:rsidRPr="00C41855" w:rsidRDefault="00AC6EB3" w:rsidP="006F7EFD">
      <w:pPr>
        <w:pStyle w:val="CRCoverPage"/>
        <w:outlineLvl w:val="0"/>
        <w:rPr>
          <w:b/>
          <w:noProof/>
          <w:sz w:val="24"/>
          <w:szCs w:val="24"/>
        </w:rPr>
      </w:pPr>
      <w:r>
        <w:rPr>
          <w:rFonts w:eastAsia="MS Mincho" w:cs="Arial"/>
          <w:b/>
          <w:bCs/>
          <w:sz w:val="24"/>
          <w:szCs w:val="24"/>
          <w:lang w:eastAsia="ja-JP"/>
        </w:rPr>
        <w:t>October</w:t>
      </w:r>
      <w:r w:rsidR="009B678F" w:rsidRPr="00C41855">
        <w:rPr>
          <w:rFonts w:eastAsia="MS Mincho" w:cs="Arial"/>
          <w:b/>
          <w:bCs/>
          <w:sz w:val="24"/>
          <w:szCs w:val="24"/>
          <w:lang w:eastAsia="ja-JP"/>
        </w:rPr>
        <w:t xml:space="preserve"> </w:t>
      </w:r>
      <w:r>
        <w:rPr>
          <w:rFonts w:eastAsia="MS Mincho" w:cs="Arial"/>
          <w:b/>
          <w:bCs/>
          <w:sz w:val="24"/>
          <w:szCs w:val="24"/>
          <w:lang w:eastAsia="ja-JP"/>
        </w:rPr>
        <w:t>26</w:t>
      </w:r>
      <w:r w:rsidR="009B678F" w:rsidRPr="00C41855">
        <w:rPr>
          <w:rFonts w:eastAsia="MS Mincho" w:cs="Arial"/>
          <w:b/>
          <w:bCs/>
          <w:sz w:val="24"/>
          <w:szCs w:val="24"/>
          <w:vertAlign w:val="superscript"/>
          <w:lang w:eastAsia="ja-JP"/>
        </w:rPr>
        <w:t>th</w:t>
      </w:r>
      <w:r w:rsidR="009B678F" w:rsidRPr="00C41855">
        <w:rPr>
          <w:rFonts w:eastAsia="MS Mincho" w:cs="Arial"/>
          <w:b/>
          <w:bCs/>
          <w:sz w:val="24"/>
          <w:szCs w:val="24"/>
          <w:lang w:eastAsia="ja-JP"/>
        </w:rPr>
        <w:t xml:space="preserve"> – </w:t>
      </w:r>
      <w:r>
        <w:rPr>
          <w:rFonts w:eastAsia="MS Mincho" w:cs="Arial"/>
          <w:b/>
          <w:bCs/>
          <w:sz w:val="24"/>
          <w:szCs w:val="24"/>
          <w:lang w:eastAsia="ja-JP"/>
        </w:rPr>
        <w:t>November 13</w:t>
      </w:r>
      <w:r w:rsidRPr="00AC6EB3">
        <w:rPr>
          <w:rFonts w:eastAsia="MS Mincho" w:cs="Arial"/>
          <w:b/>
          <w:bCs/>
          <w:sz w:val="24"/>
          <w:szCs w:val="24"/>
          <w:vertAlign w:val="superscript"/>
          <w:lang w:eastAsia="ja-JP"/>
        </w:rPr>
        <w:t>th</w:t>
      </w:r>
      <w:r w:rsidR="009B678F" w:rsidRPr="00C41855">
        <w:rPr>
          <w:rFonts w:eastAsia="MS Mincho" w:cs="Arial"/>
          <w:b/>
          <w:bCs/>
          <w:sz w:val="24"/>
          <w:szCs w:val="24"/>
          <w:lang w:eastAsia="ja-JP"/>
        </w:rPr>
        <w:t>, 2020</w:t>
      </w:r>
    </w:p>
    <w:p w14:paraId="25C0CC03" w14:textId="77777777" w:rsidR="00154194" w:rsidRPr="00302569" w:rsidRDefault="00154194" w:rsidP="006C551E">
      <w:pPr>
        <w:ind w:firstLineChars="0" w:firstLine="0"/>
        <w:rPr>
          <w:rFonts w:ascii="Arial" w:hAnsi="Arial" w:cs="Arial"/>
          <w:b/>
          <w:sz w:val="22"/>
          <w:lang w:eastAsia="zh-CN"/>
        </w:rPr>
      </w:pPr>
    </w:p>
    <w:p w14:paraId="705F5AB1" w14:textId="174A32D4"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3B6AF5">
        <w:rPr>
          <w:rFonts w:ascii="Arial" w:hAnsi="Arial" w:cs="Arial"/>
          <w:sz w:val="22"/>
        </w:rPr>
        <w:t>1.1</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02D0B12D"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E53F67">
        <w:rPr>
          <w:rFonts w:ascii="Arial" w:hAnsi="Arial" w:cs="Arial"/>
          <w:color w:val="000000"/>
          <w:sz w:val="22"/>
          <w:szCs w:val="22"/>
        </w:rPr>
        <w:t>Enhancements on Beam Management for Multi-TRP</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56A2DFB" w14:textId="2AA7608B" w:rsidR="0091094E" w:rsidRPr="000E4D2E" w:rsidRDefault="0091094E" w:rsidP="0091094E">
      <w:pPr>
        <w:spacing w:after="0" w:line="264" w:lineRule="auto"/>
        <w:ind w:firstLineChars="0" w:firstLine="0"/>
        <w:rPr>
          <w:rFonts w:ascii="Calibri" w:hAnsi="Calibri" w:cs="Calibri"/>
          <w:sz w:val="22"/>
          <w:szCs w:val="22"/>
        </w:rPr>
      </w:pPr>
      <w:bookmarkStart w:id="0" w:name="_Hlk22834419"/>
      <w:r w:rsidRPr="000E4D2E">
        <w:rPr>
          <w:rFonts w:ascii="Calibri" w:hAnsi="Calibri" w:cs="Calibri"/>
          <w:sz w:val="22"/>
          <w:szCs w:val="22"/>
        </w:rPr>
        <w:t>A WI [1] was agreed in RAN#86 for further enhancements on MIMO for NR. The detailed objectives on enhancements on multi</w:t>
      </w:r>
      <w:r w:rsidR="00E53F67">
        <w:rPr>
          <w:rFonts w:ascii="Calibri" w:hAnsi="Calibri" w:cs="Calibri"/>
          <w:sz w:val="22"/>
          <w:szCs w:val="22"/>
        </w:rPr>
        <w:t>-</w:t>
      </w:r>
      <w:r w:rsidRPr="000E4D2E">
        <w:rPr>
          <w:rFonts w:ascii="Calibri" w:hAnsi="Calibri" w:cs="Calibri"/>
          <w:sz w:val="22"/>
          <w:szCs w:val="22"/>
        </w:rPr>
        <w:t>beam operation are as follows:</w:t>
      </w:r>
    </w:p>
    <w:p w14:paraId="7F951401" w14:textId="77777777" w:rsidR="0091094E" w:rsidRPr="000E4D2E" w:rsidRDefault="0091094E" w:rsidP="0091094E">
      <w:pPr>
        <w:pStyle w:val="ListParagraph"/>
        <w:numPr>
          <w:ilvl w:val="0"/>
          <w:numId w:val="24"/>
        </w:numPr>
        <w:spacing w:before="0" w:line="264" w:lineRule="auto"/>
        <w:ind w:firstLineChars="0" w:firstLine="180"/>
        <w:rPr>
          <w:rFonts w:cs="Calibri"/>
        </w:rPr>
      </w:pPr>
      <w:r w:rsidRPr="000E4D2E">
        <w:rPr>
          <w:rFonts w:cs="Calibri"/>
        </w:rPr>
        <w:t xml:space="preserve">Enhancement on multi-beam operation, mainly targeting FR2 while also applicable to FR1: </w:t>
      </w:r>
    </w:p>
    <w:p w14:paraId="152D6DDE" w14:textId="77777777" w:rsidR="0091094E" w:rsidRPr="000E4D2E" w:rsidRDefault="0091094E" w:rsidP="0091094E">
      <w:pPr>
        <w:pStyle w:val="ListParagraph"/>
        <w:numPr>
          <w:ilvl w:val="1"/>
          <w:numId w:val="24"/>
        </w:numPr>
        <w:spacing w:before="0" w:line="264" w:lineRule="auto"/>
        <w:ind w:firstLineChars="0" w:firstLine="180"/>
        <w:rPr>
          <w:rFonts w:cs="Calibri"/>
        </w:rPr>
      </w:pPr>
      <w:r w:rsidRPr="000E4D2E">
        <w:rPr>
          <w:rFonts w:cs="Calibri"/>
        </w:rPr>
        <w:t>Identify and specify features to facilitate more efficient (lower latency and overhead) DL/UL beam management to support higher intra- and L1/L2-centric inter-cell mobility and/or a larger number of configured TCI states:</w:t>
      </w:r>
    </w:p>
    <w:p w14:paraId="0ADC88BC" w14:textId="77777777" w:rsidR="0091094E" w:rsidRPr="000E4D2E" w:rsidRDefault="0091094E" w:rsidP="0091094E">
      <w:pPr>
        <w:pStyle w:val="ListParagraph"/>
        <w:numPr>
          <w:ilvl w:val="2"/>
          <w:numId w:val="23"/>
        </w:numPr>
        <w:spacing w:before="0" w:line="264" w:lineRule="auto"/>
        <w:ind w:left="2160" w:firstLineChars="0" w:firstLine="180"/>
        <w:rPr>
          <w:rFonts w:cs="Calibri"/>
        </w:rPr>
      </w:pPr>
      <w:r w:rsidRPr="000E4D2E">
        <w:rPr>
          <w:rFonts w:cs="Calibri"/>
        </w:rPr>
        <w:t>Common beam for data and control transmission/reception for DL and UL, especially for intra-band CA</w:t>
      </w:r>
    </w:p>
    <w:p w14:paraId="497658C8" w14:textId="77777777" w:rsidR="0091094E" w:rsidRPr="000E4D2E" w:rsidRDefault="0091094E" w:rsidP="0091094E">
      <w:pPr>
        <w:pStyle w:val="ListParagraph"/>
        <w:numPr>
          <w:ilvl w:val="2"/>
          <w:numId w:val="23"/>
        </w:numPr>
        <w:spacing w:before="0" w:line="264" w:lineRule="auto"/>
        <w:ind w:left="2160" w:firstLineChars="0" w:firstLine="180"/>
        <w:rPr>
          <w:rFonts w:cs="Calibri"/>
        </w:rPr>
      </w:pPr>
      <w:r w:rsidRPr="000E4D2E">
        <w:rPr>
          <w:rFonts w:cs="Calibri"/>
        </w:rPr>
        <w:t>Unified TCI framework for DL and UL beam indication</w:t>
      </w:r>
    </w:p>
    <w:p w14:paraId="5C38CB3E" w14:textId="77777777" w:rsidR="0091094E" w:rsidRPr="000E4D2E" w:rsidRDefault="0091094E" w:rsidP="0091094E">
      <w:pPr>
        <w:pStyle w:val="ListParagraph"/>
        <w:numPr>
          <w:ilvl w:val="2"/>
          <w:numId w:val="23"/>
        </w:numPr>
        <w:spacing w:before="0" w:line="264" w:lineRule="auto"/>
        <w:ind w:left="2160" w:firstLineChars="0" w:firstLine="180"/>
        <w:rPr>
          <w:rFonts w:cs="Calibri"/>
        </w:rPr>
      </w:pPr>
      <w:r w:rsidRPr="000E4D2E">
        <w:rPr>
          <w:rFonts w:cs="Calibri"/>
        </w:rPr>
        <w:t>Enhancement on signaling mechanisms for the above features to improve latency and efficiency with more usage of dynamic control signaling (as opposed to RRC)</w:t>
      </w:r>
    </w:p>
    <w:p w14:paraId="09D9FA85" w14:textId="77777777" w:rsidR="0091094E" w:rsidRPr="000E4D2E" w:rsidRDefault="0091094E" w:rsidP="0091094E">
      <w:pPr>
        <w:pStyle w:val="ListParagraph"/>
        <w:numPr>
          <w:ilvl w:val="1"/>
          <w:numId w:val="23"/>
        </w:numPr>
        <w:spacing w:before="0" w:line="264" w:lineRule="auto"/>
        <w:ind w:firstLineChars="0" w:firstLine="180"/>
        <w:rPr>
          <w:rFonts w:cs="Calibri"/>
          <w:lang w:val="en-GB"/>
        </w:rPr>
      </w:pPr>
      <w:r w:rsidRPr="000E4D2E">
        <w:rPr>
          <w:rFonts w:cs="Calibri"/>
        </w:rPr>
        <w:t>Identify and specify features to facilitate UL beam selection for UEs equipped with multiple panels, considering UL coverage loss mitigation due to MPE, based on UL beam indication with the unified TCI framework for UL fast panel selection</w:t>
      </w:r>
    </w:p>
    <w:p w14:paraId="772897C6" w14:textId="77777777" w:rsidR="0091094E" w:rsidRDefault="0091094E" w:rsidP="008A1D15">
      <w:pPr>
        <w:spacing w:before="0" w:after="0" w:line="240" w:lineRule="auto"/>
        <w:ind w:firstLineChars="0" w:firstLine="0"/>
        <w:rPr>
          <w:rFonts w:ascii="Calibri" w:hAnsi="Calibri" w:cs="Calibri"/>
          <w:sz w:val="22"/>
          <w:szCs w:val="22"/>
        </w:rPr>
      </w:pPr>
    </w:p>
    <w:p w14:paraId="6A2D8151" w14:textId="35E05484" w:rsidR="00AC6EB3" w:rsidRDefault="00E53F67" w:rsidP="008A1D15">
      <w:pPr>
        <w:spacing w:before="0" w:after="0" w:line="240" w:lineRule="auto"/>
        <w:ind w:firstLineChars="0" w:firstLine="0"/>
        <w:rPr>
          <w:rFonts w:ascii="Calibri" w:hAnsi="Calibri" w:cs="Calibri"/>
          <w:sz w:val="22"/>
          <w:szCs w:val="22"/>
        </w:rPr>
      </w:pPr>
      <w:r>
        <w:rPr>
          <w:rFonts w:ascii="Calibri" w:hAnsi="Calibri" w:cs="Calibri"/>
          <w:sz w:val="22"/>
          <w:szCs w:val="22"/>
        </w:rPr>
        <w:t>In</w:t>
      </w:r>
      <w:r w:rsidR="0091094E">
        <w:rPr>
          <w:rFonts w:ascii="Calibri" w:hAnsi="Calibri" w:cs="Calibri"/>
          <w:sz w:val="22"/>
          <w:szCs w:val="22"/>
        </w:rPr>
        <w:t xml:space="preserve"> RAN1#102e</w:t>
      </w:r>
      <w:r>
        <w:rPr>
          <w:rFonts w:ascii="Calibri" w:hAnsi="Calibri" w:cs="Calibri"/>
          <w:sz w:val="22"/>
          <w:szCs w:val="22"/>
        </w:rPr>
        <w:t xml:space="preserve"> [2]</w:t>
      </w:r>
      <w:r w:rsidR="0091094E">
        <w:rPr>
          <w:rFonts w:ascii="Calibri" w:hAnsi="Calibri" w:cs="Calibri"/>
          <w:sz w:val="22"/>
          <w:szCs w:val="22"/>
        </w:rPr>
        <w:t xml:space="preserve">, the following agreements and categorization of multi-beam enhancement topics in Rel. 17 were made: </w:t>
      </w:r>
    </w:p>
    <w:p w14:paraId="0AE35E59" w14:textId="77777777" w:rsidR="0091094E" w:rsidRPr="00223ED0" w:rsidRDefault="0091094E" w:rsidP="008A1D15">
      <w:pPr>
        <w:spacing w:before="0" w:after="0" w:line="240" w:lineRule="auto"/>
        <w:ind w:firstLineChars="0" w:firstLine="0"/>
        <w:rPr>
          <w:rFonts w:ascii="Calibri" w:hAnsi="Calibri" w:cs="Calibri"/>
          <w:sz w:val="22"/>
          <w:szCs w:val="22"/>
        </w:rPr>
      </w:pPr>
    </w:p>
    <w:bookmarkEnd w:id="0"/>
    <w:p w14:paraId="49BD75F4" w14:textId="77777777" w:rsidR="003B6AF5" w:rsidRPr="006C2E1D" w:rsidRDefault="003B6AF5" w:rsidP="003B6AF5">
      <w:pPr>
        <w:pStyle w:val="ListParagraph"/>
        <w:numPr>
          <w:ilvl w:val="0"/>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[Issue 1] For Rel.17 NR </w:t>
      </w:r>
      <w:proofErr w:type="spellStart"/>
      <w:r w:rsidRPr="006C2E1D">
        <w:rPr>
          <w:rFonts w:ascii="Times New Roman" w:hAnsi="Times New Roman"/>
          <w:sz w:val="20"/>
          <w:szCs w:val="20"/>
        </w:rPr>
        <w:t>FeMIMO</w:t>
      </w:r>
      <w:proofErr w:type="spellEnd"/>
      <w:r w:rsidRPr="006C2E1D">
        <w:rPr>
          <w:rFonts w:ascii="Times New Roman" w:hAnsi="Times New Roman"/>
          <w:sz w:val="20"/>
          <w:szCs w:val="20"/>
        </w:rPr>
        <w:t>, on the unified TCI framework</w:t>
      </w:r>
    </w:p>
    <w:p w14:paraId="0462F094" w14:textId="77777777" w:rsidR="003B6AF5" w:rsidRPr="006C2E1D" w:rsidRDefault="003B6AF5" w:rsidP="003B6AF5">
      <w:pPr>
        <w:pStyle w:val="ListParagraph"/>
        <w:numPr>
          <w:ilvl w:val="1"/>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Support joint TCI for DL and UL based on and analogous to Rel.15/16 DL TCI framework</w:t>
      </w:r>
    </w:p>
    <w:p w14:paraId="62B4168F"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The term “TCI” at least comprises a TCI state that </w:t>
      </w:r>
      <w:r w:rsidRPr="006C2E1D">
        <w:rPr>
          <w:rFonts w:ascii="Times New Roman" w:hAnsi="Times New Roman"/>
          <w:sz w:val="20"/>
          <w:szCs w:val="20"/>
          <w:u w:val="single"/>
        </w:rPr>
        <w:t>includes</w:t>
      </w:r>
      <w:r w:rsidRPr="006C2E1D">
        <w:rPr>
          <w:rFonts w:ascii="Times New Roman" w:hAnsi="Times New Roman"/>
          <w:sz w:val="20"/>
          <w:szCs w:val="20"/>
        </w:rPr>
        <w:t xml:space="preserve"> at least one source RS to provide a reference (UE assumption) for determining QCL and/or spatial filter </w:t>
      </w:r>
    </w:p>
    <w:p w14:paraId="31D26004"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The source reference signal(s) in M TCIs provide common QCL information at least for UE-dedicated reception on PDSCH and all or subset of CORESETs in a CC</w:t>
      </w:r>
    </w:p>
    <w:p w14:paraId="6EBA3ACA" w14:textId="77777777" w:rsidR="003B6AF5" w:rsidRPr="006C2E1D" w:rsidRDefault="003B6AF5" w:rsidP="003B6AF5">
      <w:pPr>
        <w:pStyle w:val="ListParagraph"/>
        <w:numPr>
          <w:ilvl w:val="3"/>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FFS: Optionally this common QCL information can also apply to CSI-RS resource for CSI, CSI-RS resource for BM, and CSI-RS for tracking</w:t>
      </w:r>
    </w:p>
    <w:p w14:paraId="796E4034" w14:textId="77777777" w:rsidR="003B6AF5" w:rsidRPr="006C2E1D" w:rsidRDefault="003B6AF5" w:rsidP="003B6AF5">
      <w:pPr>
        <w:pStyle w:val="ListParagraph"/>
        <w:numPr>
          <w:ilvl w:val="3"/>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FFS: Applicability on PD</w:t>
      </w:r>
      <w:r w:rsidRPr="006C2E1D">
        <w:rPr>
          <w:rFonts w:ascii="Times New Roman" w:hAnsi="Times New Roman"/>
          <w:sz w:val="20"/>
          <w:szCs w:val="20"/>
          <w:lang w:eastAsia="ko-KR"/>
        </w:rPr>
        <w:t>S</w:t>
      </w:r>
      <w:r w:rsidRPr="006C2E1D">
        <w:rPr>
          <w:rFonts w:ascii="Times New Roman" w:hAnsi="Times New Roman"/>
          <w:sz w:val="20"/>
          <w:szCs w:val="20"/>
        </w:rPr>
        <w:t>CH includes PDSCH default beam</w:t>
      </w:r>
    </w:p>
    <w:p w14:paraId="15A20F97" w14:textId="77777777" w:rsidR="003B6AF5" w:rsidRPr="006C2E1D" w:rsidRDefault="003B6AF5" w:rsidP="003B6AF5">
      <w:pPr>
        <w:pStyle w:val="ListParagraph"/>
        <w:numPr>
          <w:ilvl w:val="3"/>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Working Assumption: Select between M=1 and M&gt;=1</w:t>
      </w:r>
    </w:p>
    <w:p w14:paraId="053CE1B6"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The source reference signal(s) in N TCIs provide a reference for determining common UL TX spatial filter(s) at least for dynamic-grant/configured-grant based PUSCH, all or subset of dedicated PUCCH resources in a CC, </w:t>
      </w:r>
    </w:p>
    <w:p w14:paraId="0BABAC08" w14:textId="77777777" w:rsidR="003B6AF5" w:rsidRPr="006C2E1D" w:rsidRDefault="003B6AF5" w:rsidP="003B6AF5">
      <w:pPr>
        <w:pStyle w:val="ListParagraph"/>
        <w:numPr>
          <w:ilvl w:val="3"/>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Optionally, this UL TX spatial filter can also apply to all SRS resources in resource set(s) configured for antenna switching/codebook-based/non-codebook-based UL transmissions</w:t>
      </w:r>
    </w:p>
    <w:p w14:paraId="53F36920" w14:textId="77777777" w:rsidR="003B6AF5" w:rsidRPr="006C2E1D" w:rsidRDefault="003B6AF5" w:rsidP="003B6AF5">
      <w:pPr>
        <w:pStyle w:val="ListParagraph"/>
        <w:numPr>
          <w:ilvl w:val="3"/>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FFS:  applicability of this UL TX spatial filter to SRS configured for beam management (BM)</w:t>
      </w:r>
    </w:p>
    <w:p w14:paraId="3C14CFA2" w14:textId="77777777" w:rsidR="003B6AF5" w:rsidRPr="006C2E1D" w:rsidRDefault="003B6AF5" w:rsidP="003B6AF5">
      <w:pPr>
        <w:pStyle w:val="ListParagraph"/>
        <w:numPr>
          <w:ilvl w:val="3"/>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FFS: PUSCH port determination based on the TCI, e.g., to be mapped with SRS ports analogous to Rel.15/16</w:t>
      </w:r>
    </w:p>
    <w:p w14:paraId="056E5FFC" w14:textId="77777777" w:rsidR="003B6AF5" w:rsidRPr="006C2E1D" w:rsidRDefault="003B6AF5" w:rsidP="003B6AF5">
      <w:pPr>
        <w:pStyle w:val="ListParagraph"/>
        <w:numPr>
          <w:ilvl w:val="3"/>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highlight w:val="darkYellow"/>
        </w:rPr>
        <w:t>Working Assumption</w:t>
      </w:r>
      <w:r w:rsidRPr="006C2E1D">
        <w:rPr>
          <w:rFonts w:ascii="Times New Roman" w:hAnsi="Times New Roman"/>
          <w:sz w:val="20"/>
          <w:szCs w:val="20"/>
        </w:rPr>
        <w:t>: Select between N=1 and N&gt;=1</w:t>
      </w:r>
    </w:p>
    <w:p w14:paraId="7664E9C3"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lastRenderedPageBreak/>
        <w:t xml:space="preserve">FFS: extension to common QCL information applied to only some of the CORESETs or PUCCH resources in a CC, e.g. for </w:t>
      </w:r>
      <w:proofErr w:type="spellStart"/>
      <w:r w:rsidRPr="006C2E1D">
        <w:rPr>
          <w:rFonts w:ascii="Times New Roman" w:hAnsi="Times New Roman"/>
          <w:sz w:val="20"/>
          <w:szCs w:val="20"/>
        </w:rPr>
        <w:t>mTRP</w:t>
      </w:r>
      <w:proofErr w:type="spellEnd"/>
      <w:r w:rsidRPr="006C2E1D">
        <w:rPr>
          <w:rFonts w:ascii="Times New Roman" w:hAnsi="Times New Roman"/>
          <w:sz w:val="20"/>
          <w:szCs w:val="20"/>
        </w:rPr>
        <w:t xml:space="preserve"> </w:t>
      </w:r>
    </w:p>
    <w:p w14:paraId="1868C5EB"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FFS: When used for the purpose of joint beam indication for UL and DL, whether a joint TCI pool for DL and UL dedicated for the purpose is used, or the same TCI pool as that used for the purpose of separate DL/UL beam indication is used </w:t>
      </w:r>
    </w:p>
    <w:p w14:paraId="067D8764"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Note: The resulting beam indication directly refers to the associated source RS(s)</w:t>
      </w:r>
    </w:p>
    <w:p w14:paraId="18BFB197"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FFS (RAN1#103-e): Details on extension to intra- and inter-band CA</w:t>
      </w:r>
    </w:p>
    <w:p w14:paraId="0D0CB26B"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FFS (RAN1#103-e): The supported number of active TCI states considering factors such as multi-TRP and issue 6 </w:t>
      </w:r>
    </w:p>
    <w:p w14:paraId="3B256E11"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FFS (RAN1#103-e): Applicable QCL types, and co-existence with DL TCI and spatial relation indication in Rel.15/16</w:t>
      </w:r>
    </w:p>
    <w:p w14:paraId="25FC48AF" w14:textId="77777777" w:rsidR="003B6AF5" w:rsidRPr="006C2E1D" w:rsidRDefault="003B6AF5" w:rsidP="003B6AF5">
      <w:pPr>
        <w:pStyle w:val="ListParagraph"/>
        <w:numPr>
          <w:ilvl w:val="1"/>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In RAN1#103-e, investigate, for the purpose of down selection, the following alternatives for accommodating the case of separate beam indication for UL and DL</w:t>
      </w:r>
    </w:p>
    <w:p w14:paraId="5A7D387D"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Alt1. Utilize the joint TCI </w:t>
      </w:r>
      <w:r w:rsidRPr="006C2E1D">
        <w:rPr>
          <w:rFonts w:ascii="Times New Roman" w:eastAsia="Times New Roman" w:hAnsi="Times New Roman"/>
          <w:sz w:val="20"/>
          <w:szCs w:val="20"/>
        </w:rPr>
        <w:t>to include references for both DL and UL beams</w:t>
      </w:r>
    </w:p>
    <w:p w14:paraId="10ED083A"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Alt2. Utilize two separate TCI states, one for DL and one for UL. The TCI state for the DL is the same as agreed in 1a. The TCI state for the UL can be newly introduced.</w:t>
      </w:r>
    </w:p>
    <w:p w14:paraId="7061535D" w14:textId="77777777" w:rsidR="003B6AF5" w:rsidRPr="006C2E1D" w:rsidRDefault="003B6AF5" w:rsidP="003B6AF5">
      <w:pPr>
        <w:pStyle w:val="ListParagraph"/>
        <w:numPr>
          <w:ilvl w:val="3"/>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Alt 2-1: The UL TCI state is taken from the same pool of TCI states as the DL TCI state</w:t>
      </w:r>
    </w:p>
    <w:p w14:paraId="60C7FCC3" w14:textId="77777777" w:rsidR="003B6AF5" w:rsidRPr="006C2E1D" w:rsidRDefault="003B6AF5" w:rsidP="003B6AF5">
      <w:pPr>
        <w:pStyle w:val="ListParagraph"/>
        <w:numPr>
          <w:ilvl w:val="3"/>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Alt 2-2: The UL TCI state is taken from another pool of TCI states than the DL TCI state</w:t>
      </w:r>
    </w:p>
    <w:p w14:paraId="7338A6EB"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Note: The resulting beam indication directly refers to the associated source RS(s)</w:t>
      </w:r>
    </w:p>
    <w:p w14:paraId="5F687CA8"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FFS (RAN1#103-e): Details on extension to intra- and inter-band CA</w:t>
      </w:r>
    </w:p>
    <w:p w14:paraId="46831977"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Note: This may be related to issue 5 as well as other reasons for different TCIs such as network flexibility/scheduling</w:t>
      </w:r>
    </w:p>
    <w:p w14:paraId="2E74BB4E" w14:textId="77777777" w:rsidR="003B6AF5" w:rsidRPr="006C2E1D" w:rsidRDefault="003B6AF5" w:rsidP="003B6AF5">
      <w:pPr>
        <w:pStyle w:val="ListParagraph"/>
        <w:numPr>
          <w:ilvl w:val="1"/>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Support the use of SSB/CSI-RS for BM and/or SRS for BM as source RS to determine a UL TX spatial filter in the unified TCI framework</w:t>
      </w:r>
    </w:p>
    <w:p w14:paraId="4F426757"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Whether the UL TX spatial filter corresponds to UL TCI (separate from DL TCI) depends on the outcome of 1b) above</w:t>
      </w:r>
    </w:p>
    <w:p w14:paraId="418363CD"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FFS: Support the use of non-BM CSI-RS and/or non-BM SRS in addition</w:t>
      </w:r>
    </w:p>
    <w:p w14:paraId="6898783A" w14:textId="77777777" w:rsidR="003B6AF5" w:rsidRPr="006C2E1D" w:rsidRDefault="003B6AF5" w:rsidP="003B6AF5">
      <w:pPr>
        <w:pStyle w:val="ListParagraph"/>
        <w:numPr>
          <w:ilvl w:val="1"/>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In RAN1#103-e, decide if SRS for BM can be configured as a source RS to represent a DL RX spatial filter in the unified TCI framework</w:t>
      </w:r>
    </w:p>
    <w:p w14:paraId="3C493139" w14:textId="77777777" w:rsidR="003B6AF5" w:rsidRPr="006C2E1D" w:rsidRDefault="003B6AF5" w:rsidP="003B6AF5">
      <w:pPr>
        <w:pStyle w:val="ListParagraph"/>
        <w:numPr>
          <w:ilvl w:val="1"/>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In RAN1#103-e, decide/finalize all other parameters included in or concurrent with (but not included in) the TCI, e.g. UL-PC-related parameters (involving P0/alpha, PL RS, and/or closed loop index), UL-timing-related parameters  </w:t>
      </w:r>
    </w:p>
    <w:p w14:paraId="5EF21D9D" w14:textId="77777777" w:rsidR="003B6AF5" w:rsidRPr="006C2E1D" w:rsidRDefault="003B6AF5" w:rsidP="003B6AF5">
      <w:pPr>
        <w:pStyle w:val="ListParagraph"/>
        <w:numPr>
          <w:ilvl w:val="1"/>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In RAN1#103-e, identify issues pertaining to alignment between DL and UL default beam assumptions using the unified TCI framework</w:t>
      </w:r>
    </w:p>
    <w:p w14:paraId="0966FBF0" w14:textId="77777777" w:rsidR="003B6AF5" w:rsidRPr="006C2E1D" w:rsidRDefault="003B6AF5" w:rsidP="003B6AF5">
      <w:pPr>
        <w:pStyle w:val="ListParagraph"/>
        <w:numPr>
          <w:ilvl w:val="0"/>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[Issue 2] For Rel.17 NR </w:t>
      </w:r>
      <w:proofErr w:type="spellStart"/>
      <w:r w:rsidRPr="006C2E1D">
        <w:rPr>
          <w:rFonts w:ascii="Times New Roman" w:hAnsi="Times New Roman"/>
          <w:sz w:val="20"/>
          <w:szCs w:val="20"/>
        </w:rPr>
        <w:t>FeMIMO</w:t>
      </w:r>
      <w:proofErr w:type="spellEnd"/>
      <w:r w:rsidRPr="006C2E1D">
        <w:rPr>
          <w:rFonts w:ascii="Times New Roman" w:hAnsi="Times New Roman"/>
          <w:sz w:val="20"/>
          <w:szCs w:val="20"/>
        </w:rPr>
        <w:t xml:space="preserve">, on L1/L2-centric inter-cell mobility: </w:t>
      </w:r>
    </w:p>
    <w:p w14:paraId="4EDBC8E1" w14:textId="77777777" w:rsidR="003B6AF5" w:rsidRPr="006C2E1D" w:rsidRDefault="003B6AF5" w:rsidP="003B6AF5">
      <w:pPr>
        <w:pStyle w:val="ListParagraph"/>
        <w:numPr>
          <w:ilvl w:val="1"/>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In RAN1#103-e, finalize scope and use cases for L1/L2-centric inter-cell mobility, including: </w:t>
      </w:r>
    </w:p>
    <w:p w14:paraId="60B63D66"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Applicability in various non-CA and CA setups such as intra-band and inter-band CA</w:t>
      </w:r>
    </w:p>
    <w:p w14:paraId="4A5E4DD7"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Use cases in comparison to Rel.15 L3-based handover (HO) taking into account potential extension of DAPS-based Rel.16 mobility enhancement to FR2-FR2 HO</w:t>
      </w:r>
    </w:p>
    <w:p w14:paraId="1EDD1E81"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The extent of RAN2 impact (MAC CE, RRC, user plane protocols)</w:t>
      </w:r>
    </w:p>
    <w:p w14:paraId="23E7F5D5"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Network architecture, e.g. NSA vs. SA, inter-RAT scenarios</w:t>
      </w:r>
    </w:p>
    <w:p w14:paraId="14CEC459" w14:textId="77777777" w:rsidR="003B6AF5" w:rsidRPr="006C2E1D" w:rsidRDefault="003B6AF5" w:rsidP="003B6AF5">
      <w:pPr>
        <w:pStyle w:val="ListParagraph"/>
        <w:numPr>
          <w:ilvl w:val="1"/>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5B4F473F"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Method(s) for incorporating non-serving cell information associated with TCI</w:t>
      </w:r>
    </w:p>
    <w:p w14:paraId="0B6D2F94"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Method(s) for DL measurements and UE reporting (e.g. L1-RSRP) associated with non-serving cell(s)</w:t>
      </w:r>
    </w:p>
    <w:p w14:paraId="76C7059F"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bookmarkStart w:id="1" w:name="_Hlk49275654"/>
      <w:r w:rsidRPr="006C2E1D">
        <w:rPr>
          <w:rFonts w:ascii="Times New Roman" w:hAnsi="Times New Roman"/>
          <w:sz w:val="20"/>
          <w:szCs w:val="20"/>
        </w:rPr>
        <w:t>UE behavior for reception of signals and non-UE-specific control and data channels associated with non-serving cell(s)</w:t>
      </w:r>
      <w:bookmarkEnd w:id="1"/>
      <w:r w:rsidRPr="006C2E1D">
        <w:rPr>
          <w:rFonts w:ascii="Times New Roman" w:hAnsi="Times New Roman"/>
          <w:sz w:val="20"/>
          <w:szCs w:val="20"/>
        </w:rPr>
        <w:t xml:space="preserve"> </w:t>
      </w:r>
    </w:p>
    <w:p w14:paraId="4C2FA231"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UL-related enhancements, e.g. related to RA procedure including TA</w:t>
      </w:r>
    </w:p>
    <w:p w14:paraId="5A6E0E56"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Beam-level event-driven mechanism for L1/L2-centric inter-cell mobility</w:t>
      </w:r>
    </w:p>
    <w:p w14:paraId="4B28DF98" w14:textId="77777777" w:rsidR="003B6AF5" w:rsidRPr="006C2E1D" w:rsidRDefault="003B6AF5" w:rsidP="003B6AF5">
      <w:pPr>
        <w:pStyle w:val="ListParagraph"/>
        <w:numPr>
          <w:ilvl w:val="0"/>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[Issue 3] For Rel.17 NR </w:t>
      </w:r>
      <w:proofErr w:type="spellStart"/>
      <w:r w:rsidRPr="006C2E1D">
        <w:rPr>
          <w:rFonts w:ascii="Times New Roman" w:hAnsi="Times New Roman"/>
          <w:sz w:val="20"/>
          <w:szCs w:val="20"/>
        </w:rPr>
        <w:t>FeMIMO</w:t>
      </w:r>
      <w:proofErr w:type="spellEnd"/>
      <w:r w:rsidRPr="006C2E1D">
        <w:rPr>
          <w:rFonts w:ascii="Times New Roman" w:hAnsi="Times New Roman"/>
          <w:sz w:val="20"/>
          <w:szCs w:val="20"/>
        </w:rPr>
        <w:t xml:space="preserve">, on dynamic TCI state update signaling medium: </w:t>
      </w:r>
    </w:p>
    <w:p w14:paraId="7A16A8B3" w14:textId="77777777" w:rsidR="003B6AF5" w:rsidRPr="006C2E1D" w:rsidRDefault="003B6AF5" w:rsidP="003B6AF5">
      <w:pPr>
        <w:pStyle w:val="ListParagraph"/>
        <w:numPr>
          <w:ilvl w:val="1"/>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In RAN1#103-e, investigate, for the purpose of down selection, the following alternatives:</w:t>
      </w:r>
    </w:p>
    <w:p w14:paraId="5252DD1A"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Alt1. DCI</w:t>
      </w:r>
    </w:p>
    <w:p w14:paraId="4FF914DF"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Alt2. MAC CE</w:t>
      </w:r>
    </w:p>
    <w:p w14:paraId="21A29478"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Note: Combination between DCI and MAC CE for, e.g. different use cases or control information partitioning can also be considered </w:t>
      </w:r>
    </w:p>
    <w:p w14:paraId="752670D2"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lastRenderedPageBreak/>
        <w:t xml:space="preserve">Note: The study should consider factors such as feasibility for pertinent use cases, performance (based on at least the agreed EVM), overhead (including PDCCH capacity), latency, flexibility, reliability including the support of retransmission </w:t>
      </w:r>
    </w:p>
    <w:p w14:paraId="5EC30F17"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Note: This may be related to outcome of issue 1a), 1b), and 6a)</w:t>
      </w:r>
    </w:p>
    <w:p w14:paraId="7C26C749" w14:textId="77777777" w:rsidR="003B6AF5" w:rsidRPr="006C2E1D" w:rsidRDefault="003B6AF5" w:rsidP="003B6AF5">
      <w:pPr>
        <w:pStyle w:val="ListParagraph"/>
        <w:numPr>
          <w:ilvl w:val="1"/>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In RAN1#103-e, depending on the outcome of 3a), identify candidates for more detailed design issues for the dynamic TCI state update such as </w:t>
      </w:r>
    </w:p>
    <w:p w14:paraId="76B824DE"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Exact content </w:t>
      </w:r>
    </w:p>
    <w:p w14:paraId="116B417A"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Signaling format </w:t>
      </w:r>
    </w:p>
    <w:p w14:paraId="5ABB9D4A"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Reliability aspects including the support of retransmission</w:t>
      </w:r>
    </w:p>
    <w:p w14:paraId="6A8E1405"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Extensions, including the support of UE-group (in contrast to UE-dedicated) signaling</w:t>
      </w:r>
    </w:p>
    <w:p w14:paraId="67A2F27C" w14:textId="77777777" w:rsidR="003B6AF5" w:rsidRPr="006C2E1D" w:rsidRDefault="003B6AF5" w:rsidP="003B6AF5">
      <w:pPr>
        <w:pStyle w:val="ListParagraph"/>
        <w:numPr>
          <w:ilvl w:val="0"/>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[Issue 4] For Rel.17 NR </w:t>
      </w:r>
      <w:proofErr w:type="spellStart"/>
      <w:r w:rsidRPr="006C2E1D">
        <w:rPr>
          <w:rFonts w:ascii="Times New Roman" w:hAnsi="Times New Roman"/>
          <w:sz w:val="20"/>
          <w:szCs w:val="20"/>
        </w:rPr>
        <w:t>FeMIMO</w:t>
      </w:r>
      <w:proofErr w:type="spellEnd"/>
      <w:r w:rsidRPr="006C2E1D">
        <w:rPr>
          <w:rFonts w:ascii="Times New Roman" w:hAnsi="Times New Roman"/>
          <w:sz w:val="20"/>
          <w:szCs w:val="20"/>
        </w:rPr>
        <w:t>, on MP-UE assumption to facilitate fast UL panel selection:</w:t>
      </w:r>
    </w:p>
    <w:p w14:paraId="713D63BF" w14:textId="77777777" w:rsidR="003B6AF5" w:rsidRPr="006C2E1D" w:rsidRDefault="003B6AF5" w:rsidP="003B6AF5">
      <w:pPr>
        <w:pStyle w:val="ListParagraph"/>
        <w:numPr>
          <w:ilvl w:val="1"/>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The following assumptions are used: </w:t>
      </w:r>
    </w:p>
    <w:p w14:paraId="5B289B62"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In terms of RF functionality, a UE panel comprises a collection of TXRUs that is able to generate one analog beam (one beam may correspond to two antenna ports if dual-polarized array is used)</w:t>
      </w:r>
    </w:p>
    <w:p w14:paraId="3FDDE853"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UE panels can constitute the same as well as different number of antenna ports, number of beams, and EIRP </w:t>
      </w:r>
    </w:p>
    <w:p w14:paraId="3F269D4E"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No beam correspondence across different UE panels</w:t>
      </w:r>
    </w:p>
    <w:p w14:paraId="476D9B6B"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FFS: For each UE panel, it can comprise an independent unit of PC, FFT timing window, and/or TA.</w:t>
      </w:r>
    </w:p>
    <w:p w14:paraId="52F028CB"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FFS: Same or different sets of UE panels can be used for DL reception and UL transmission, respectively</w:t>
      </w:r>
    </w:p>
    <w:p w14:paraId="6259D42D" w14:textId="77777777" w:rsidR="003B6AF5" w:rsidRPr="006C2E1D" w:rsidRDefault="003B6AF5" w:rsidP="003B6AF5">
      <w:pPr>
        <w:pStyle w:val="ListParagraph"/>
        <w:numPr>
          <w:ilvl w:val="1"/>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In RAN1#103-e, identify candidate use cases including MPE, and consider remaining aspects if use cases are identified</w:t>
      </w:r>
    </w:p>
    <w:p w14:paraId="2B2DB9C9" w14:textId="77777777" w:rsidR="003B6AF5" w:rsidRPr="006C2E1D" w:rsidRDefault="003B6AF5" w:rsidP="003B6AF5">
      <w:pPr>
        <w:pStyle w:val="ListParagraph"/>
        <w:numPr>
          <w:ilvl w:val="1"/>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In RAN1#103-e, identify candidate signaling schemes for the following:</w:t>
      </w:r>
    </w:p>
    <w:p w14:paraId="143D1C07"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NW to MP-UE (taking into account potential extension of the unified TCI framework in issue 1)</w:t>
      </w:r>
    </w:p>
    <w:p w14:paraId="07690161"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MP-UE to NW</w:t>
      </w:r>
    </w:p>
    <w:p w14:paraId="626688A1" w14:textId="77777777" w:rsidR="003B6AF5" w:rsidRPr="006C2E1D" w:rsidRDefault="003B6AF5" w:rsidP="003B6AF5">
      <w:pPr>
        <w:pStyle w:val="ListParagraph"/>
        <w:numPr>
          <w:ilvl w:val="0"/>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[Issue 5] For Rel.17 NR </w:t>
      </w:r>
      <w:proofErr w:type="spellStart"/>
      <w:r w:rsidRPr="006C2E1D">
        <w:rPr>
          <w:rFonts w:ascii="Times New Roman" w:hAnsi="Times New Roman"/>
          <w:sz w:val="20"/>
          <w:szCs w:val="20"/>
        </w:rPr>
        <w:t>FeMIMO</w:t>
      </w:r>
      <w:proofErr w:type="spellEnd"/>
      <w:r w:rsidRPr="006C2E1D">
        <w:rPr>
          <w:rFonts w:ascii="Times New Roman" w:hAnsi="Times New Roman"/>
          <w:sz w:val="20"/>
          <w:szCs w:val="20"/>
        </w:rPr>
        <w:t xml:space="preserve">, on MPE mitigation (that is, minimizing the UL coverage loss due to the UE having to meet the MPE regulation), in RAN1#103-e: </w:t>
      </w:r>
    </w:p>
    <w:p w14:paraId="129470A4" w14:textId="77777777" w:rsidR="003B6AF5" w:rsidRPr="006C2E1D" w:rsidRDefault="003B6AF5" w:rsidP="003B6AF5">
      <w:pPr>
        <w:pStyle w:val="ListParagraph"/>
        <w:numPr>
          <w:ilvl w:val="1"/>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If needed, identify candidate solutions to be </w:t>
      </w:r>
      <w:proofErr w:type="gramStart"/>
      <w:r w:rsidRPr="006C2E1D">
        <w:rPr>
          <w:rFonts w:ascii="Times New Roman" w:hAnsi="Times New Roman"/>
          <w:sz w:val="20"/>
          <w:szCs w:val="20"/>
        </w:rPr>
        <w:t>down-selected</w:t>
      </w:r>
      <w:proofErr w:type="gramEnd"/>
      <w:r w:rsidRPr="006C2E1D">
        <w:rPr>
          <w:rFonts w:ascii="Times New Roman" w:hAnsi="Times New Roman"/>
          <w:sz w:val="20"/>
          <w:szCs w:val="20"/>
        </w:rPr>
        <w:t xml:space="preserve"> in future meeting(s). The following sub-categories can be used:</w:t>
      </w:r>
    </w:p>
    <w:p w14:paraId="63B2097C"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CAT0. The need for specification support for MPE event detection and, if needed, candidate solutions</w:t>
      </w:r>
    </w:p>
    <w:p w14:paraId="4022C5F2"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CAT1. The need for UE reporting associated with an MPE and/or a potential/anticipated MPE event if the UE selects a certain UL spatial resource, e.g., corresponding to DL or UL RS</w:t>
      </w:r>
    </w:p>
    <w:p w14:paraId="11109DF9"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CAT2. The need for NW signaling in response to the reported MPE event (taking into account issue 1) and UE behavior after receiving the NW signaling</w:t>
      </w:r>
    </w:p>
    <w:p w14:paraId="458910C1"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Note: RAN4 has agreed to specify P-MPR reporting (cf. CRs for TS 38.101/102/133) which can be used as a baseline scheme for further enhancement</w:t>
      </w:r>
    </w:p>
    <w:p w14:paraId="365497E7" w14:textId="77777777" w:rsidR="003B6AF5" w:rsidRPr="006C2E1D" w:rsidRDefault="003B6AF5" w:rsidP="003B6AF5">
      <w:pPr>
        <w:pStyle w:val="ListParagraph"/>
        <w:numPr>
          <w:ilvl w:val="2"/>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Note: This may be related to outcome of issue 4b)</w:t>
      </w:r>
    </w:p>
    <w:p w14:paraId="66543FF3" w14:textId="77777777" w:rsidR="003B6AF5" w:rsidRPr="006C2E1D" w:rsidRDefault="003B6AF5" w:rsidP="003B6AF5">
      <w:pPr>
        <w:pStyle w:val="ListParagraph"/>
        <w:numPr>
          <w:ilvl w:val="1"/>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Companies are encouraged to submit evaluation results based on the agreed EVM to justify the benefits of the candidate solutions</w:t>
      </w:r>
    </w:p>
    <w:p w14:paraId="49262E9C" w14:textId="77777777" w:rsidR="003B6AF5" w:rsidRPr="006C2E1D" w:rsidRDefault="003B6AF5" w:rsidP="003B6AF5">
      <w:pPr>
        <w:pStyle w:val="ListParagraph"/>
        <w:numPr>
          <w:ilvl w:val="0"/>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[Issue 6] For Rel.17 NR </w:t>
      </w:r>
      <w:proofErr w:type="spellStart"/>
      <w:r w:rsidRPr="006C2E1D">
        <w:rPr>
          <w:rFonts w:ascii="Times New Roman" w:hAnsi="Times New Roman"/>
          <w:sz w:val="20"/>
          <w:szCs w:val="20"/>
        </w:rPr>
        <w:t>FeMIMO</w:t>
      </w:r>
      <w:proofErr w:type="spellEnd"/>
      <w:r w:rsidRPr="006C2E1D">
        <w:rPr>
          <w:rFonts w:ascii="Times New Roman" w:hAnsi="Times New Roman"/>
          <w:sz w:val="20"/>
          <w:szCs w:val="20"/>
        </w:rPr>
        <w:t xml:space="preserve">, </w:t>
      </w:r>
    </w:p>
    <w:p w14:paraId="58D6EEA3" w14:textId="77777777" w:rsidR="003B6AF5" w:rsidRPr="006C2E1D" w:rsidRDefault="003B6AF5" w:rsidP="003B6AF5">
      <w:pPr>
        <w:pStyle w:val="ListParagraph"/>
        <w:numPr>
          <w:ilvl w:val="1"/>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add another category on performing study and, if needed, specifying feature(s) for beam acquisition (including beam tracking and refinement) latency reduction, especially for scenarios with high-speed UEs and large number of configured TCI states </w:t>
      </w:r>
    </w:p>
    <w:p w14:paraId="488DC67F" w14:textId="77777777" w:rsidR="003B6AF5" w:rsidRPr="006C2E1D" w:rsidRDefault="003B6AF5" w:rsidP="003B6AF5">
      <w:pPr>
        <w:pStyle w:val="ListParagraph"/>
        <w:numPr>
          <w:ilvl w:val="1"/>
          <w:numId w:val="22"/>
        </w:numPr>
        <w:snapToGrid w:val="0"/>
        <w:spacing w:before="0" w:line="240" w:lineRule="auto"/>
        <w:ind w:firstLineChars="0"/>
        <w:contextualSpacing/>
        <w:jc w:val="left"/>
        <w:rPr>
          <w:rFonts w:ascii="Times New Roman" w:hAnsi="Times New Roman"/>
          <w:sz w:val="20"/>
          <w:szCs w:val="20"/>
        </w:rPr>
      </w:pPr>
      <w:r w:rsidRPr="006C2E1D">
        <w:rPr>
          <w:rFonts w:ascii="Times New Roman" w:hAnsi="Times New Roman"/>
          <w:sz w:val="20"/>
          <w:szCs w:val="20"/>
        </w:rPr>
        <w:t xml:space="preserve">Partial BFR will be handled in ITEM 2c (BM enhancement for </w:t>
      </w:r>
      <w:proofErr w:type="spellStart"/>
      <w:r w:rsidRPr="006C2E1D">
        <w:rPr>
          <w:rFonts w:ascii="Times New Roman" w:hAnsi="Times New Roman"/>
          <w:sz w:val="20"/>
          <w:szCs w:val="20"/>
        </w:rPr>
        <w:t>mTRP</w:t>
      </w:r>
      <w:proofErr w:type="spellEnd"/>
      <w:r w:rsidRPr="006C2E1D">
        <w:rPr>
          <w:rFonts w:ascii="Times New Roman" w:hAnsi="Times New Roman"/>
          <w:sz w:val="20"/>
          <w:szCs w:val="20"/>
        </w:rPr>
        <w:t xml:space="preserve">) </w:t>
      </w:r>
    </w:p>
    <w:p w14:paraId="0204C378" w14:textId="77777777" w:rsidR="003B6AF5" w:rsidRPr="006C2E1D" w:rsidRDefault="003B6AF5" w:rsidP="003B6AF5">
      <w:pPr>
        <w:rPr>
          <w:lang w:eastAsia="x-none"/>
        </w:rPr>
      </w:pPr>
      <w:r w:rsidRPr="006C2E1D">
        <w:rPr>
          <w:lang w:eastAsia="x-none"/>
        </w:rPr>
        <w:t>Note: The target “RAN1#103-e” is understood as best-effort, i.e. to finalize as many components as possible based on the status of companies’ contributions.</w:t>
      </w:r>
    </w:p>
    <w:p w14:paraId="33695C45" w14:textId="77777777" w:rsidR="003B6AF5" w:rsidRDefault="003B6AF5" w:rsidP="00682F0E">
      <w:pPr>
        <w:spacing w:before="0" w:after="0" w:line="240" w:lineRule="auto"/>
        <w:ind w:firstLineChars="0" w:firstLine="0"/>
        <w:jc w:val="left"/>
        <w:rPr>
          <w:rFonts w:ascii="Calibri" w:eastAsia="DengXian" w:hAnsi="Calibri" w:cs="Calibri"/>
          <w:sz w:val="22"/>
          <w:szCs w:val="22"/>
          <w:lang w:eastAsia="zh-CN"/>
        </w:rPr>
      </w:pPr>
    </w:p>
    <w:p w14:paraId="2D5E8D98" w14:textId="4C3D4570" w:rsidR="003B6AF5" w:rsidRDefault="00015439" w:rsidP="00682F0E">
      <w:pPr>
        <w:spacing w:before="0" w:after="0" w:line="240" w:lineRule="auto"/>
        <w:ind w:firstLineChars="0" w:firstLine="0"/>
        <w:jc w:val="left"/>
        <w:rPr>
          <w:rFonts w:ascii="Calibri" w:eastAsia="DengXian" w:hAnsi="Calibri" w:cs="Calibri"/>
          <w:sz w:val="22"/>
          <w:szCs w:val="22"/>
          <w:lang w:eastAsia="zh-CN"/>
        </w:rPr>
      </w:pPr>
      <w:r w:rsidRPr="00223ED0">
        <w:rPr>
          <w:rFonts w:ascii="Calibri" w:eastAsia="DengXian" w:hAnsi="Calibri" w:cs="Calibri"/>
          <w:sz w:val="22"/>
          <w:szCs w:val="22"/>
          <w:lang w:eastAsia="zh-CN"/>
        </w:rPr>
        <w:t xml:space="preserve">In this contribution, we </w:t>
      </w:r>
      <w:r w:rsidR="003B6AF5">
        <w:rPr>
          <w:rFonts w:ascii="Calibri" w:eastAsia="DengXian" w:hAnsi="Calibri" w:cs="Calibri"/>
          <w:sz w:val="22"/>
          <w:szCs w:val="22"/>
          <w:lang w:eastAsia="zh-CN"/>
        </w:rPr>
        <w:t xml:space="preserve">present our views on the </w:t>
      </w:r>
      <w:r w:rsidR="006C2E1D">
        <w:rPr>
          <w:rFonts w:ascii="Calibri" w:eastAsia="DengXian" w:hAnsi="Calibri" w:cs="Calibri"/>
          <w:sz w:val="22"/>
          <w:szCs w:val="22"/>
          <w:lang w:eastAsia="zh-CN"/>
        </w:rPr>
        <w:t>identified issues</w:t>
      </w:r>
      <w:r w:rsidR="003B6AF5">
        <w:rPr>
          <w:rFonts w:ascii="Calibri" w:eastAsia="DengXian" w:hAnsi="Calibri" w:cs="Calibri"/>
          <w:sz w:val="22"/>
          <w:szCs w:val="22"/>
          <w:lang w:eastAsia="zh-CN"/>
        </w:rPr>
        <w:t xml:space="preserve"> related to joint TCI framework on the UL and DL, </w:t>
      </w:r>
      <w:r w:rsidR="006C2E1D">
        <w:rPr>
          <w:rFonts w:ascii="Calibri" w:eastAsia="DengXian" w:hAnsi="Calibri" w:cs="Calibri"/>
          <w:sz w:val="22"/>
          <w:szCs w:val="22"/>
          <w:lang w:eastAsia="zh-CN"/>
        </w:rPr>
        <w:t>dynamic TCI update, MP-UE fast selection and beam tracking improvements.</w:t>
      </w:r>
    </w:p>
    <w:p w14:paraId="5F4259E1" w14:textId="77777777" w:rsidR="003B6AF5" w:rsidRDefault="003B6AF5" w:rsidP="00682F0E">
      <w:pPr>
        <w:spacing w:before="0" w:after="0" w:line="240" w:lineRule="auto"/>
        <w:ind w:firstLineChars="0" w:firstLine="0"/>
        <w:jc w:val="left"/>
        <w:rPr>
          <w:rFonts w:ascii="Calibri" w:eastAsia="DengXian" w:hAnsi="Calibri" w:cs="Calibri"/>
          <w:sz w:val="22"/>
          <w:szCs w:val="22"/>
          <w:lang w:eastAsia="zh-CN"/>
        </w:rPr>
      </w:pPr>
    </w:p>
    <w:p w14:paraId="01BB1AD2" w14:textId="03E54E27" w:rsidR="003B6AF5" w:rsidRDefault="0091094E" w:rsidP="00990115">
      <w:pPr>
        <w:pStyle w:val="Heading1"/>
      </w:pPr>
      <w:r>
        <w:lastRenderedPageBreak/>
        <w:t>Unified TCI Framework</w:t>
      </w:r>
    </w:p>
    <w:p w14:paraId="7A86C781" w14:textId="5C6ABBB2" w:rsidR="003F6BD1" w:rsidRDefault="003F6BD1" w:rsidP="003F6BD1">
      <w:pPr>
        <w:snapToGrid w:val="0"/>
        <w:spacing w:before="0" w:line="240" w:lineRule="auto"/>
        <w:ind w:firstLineChars="0" w:firstLine="0"/>
        <w:contextualSpacing/>
        <w:jc w:val="left"/>
      </w:pPr>
    </w:p>
    <w:p w14:paraId="0BD4FCC0" w14:textId="6B868AE5" w:rsidR="008258D0" w:rsidRDefault="003F6BD1" w:rsidP="00844163">
      <w:pPr>
        <w:snapToGrid w:val="0"/>
        <w:spacing w:before="0" w:line="264" w:lineRule="auto"/>
        <w:ind w:firstLineChars="0" w:firstLine="0"/>
        <w:contextualSpacing/>
        <w:jc w:val="left"/>
        <w:rPr>
          <w:rFonts w:ascii="Calibri" w:hAnsi="Calibri" w:cs="Calibri"/>
          <w:sz w:val="22"/>
          <w:szCs w:val="22"/>
        </w:rPr>
      </w:pPr>
      <w:r w:rsidRPr="00844163">
        <w:rPr>
          <w:rFonts w:ascii="Calibri" w:hAnsi="Calibri" w:cs="Calibri"/>
          <w:sz w:val="22"/>
          <w:szCs w:val="22"/>
        </w:rPr>
        <w:t xml:space="preserve">In RAN1#102e, an agreement has been made </w:t>
      </w:r>
      <w:r w:rsidR="00190E52">
        <w:rPr>
          <w:rFonts w:ascii="Calibri" w:hAnsi="Calibri" w:cs="Calibri"/>
          <w:sz w:val="22"/>
          <w:szCs w:val="22"/>
        </w:rPr>
        <w:t>to support</w:t>
      </w:r>
      <w:r w:rsidRPr="00844163">
        <w:rPr>
          <w:rFonts w:ascii="Calibri" w:hAnsi="Calibri" w:cs="Calibri"/>
          <w:sz w:val="22"/>
          <w:szCs w:val="22"/>
        </w:rPr>
        <w:t xml:space="preserve"> </w:t>
      </w:r>
      <w:r w:rsidR="00941A43" w:rsidRPr="00844163">
        <w:rPr>
          <w:rFonts w:ascii="Calibri" w:hAnsi="Calibri" w:cs="Calibri"/>
          <w:sz w:val="22"/>
          <w:szCs w:val="22"/>
        </w:rPr>
        <w:t xml:space="preserve">a joint TCI for DL and UL. </w:t>
      </w:r>
      <w:r w:rsidR="008258D0">
        <w:rPr>
          <w:rFonts w:ascii="Calibri" w:hAnsi="Calibri" w:cs="Calibri"/>
          <w:sz w:val="22"/>
          <w:szCs w:val="22"/>
        </w:rPr>
        <w:t xml:space="preserve">At least one TCI state update is used to provide common QCL information for PDSCH and all or a subset of CORESETs in a CC. Similarly, at least one TCI update is used to provide common QCL information for PUSCH and all or a subset of dedicated PUCCH resources in a CC. When applicable, a joint TCI state can be used for both DL and UL. </w:t>
      </w:r>
    </w:p>
    <w:p w14:paraId="2D8A9D6F" w14:textId="292A8BD6" w:rsidR="008258D0" w:rsidRDefault="008258D0" w:rsidP="00844163">
      <w:pPr>
        <w:snapToGrid w:val="0"/>
        <w:spacing w:before="0" w:line="264" w:lineRule="auto"/>
        <w:ind w:firstLineChars="0" w:firstLine="0"/>
        <w:contextualSpacing/>
        <w:jc w:val="left"/>
        <w:rPr>
          <w:rFonts w:ascii="Calibri" w:hAnsi="Calibri" w:cs="Calibri"/>
          <w:sz w:val="22"/>
          <w:szCs w:val="22"/>
        </w:rPr>
      </w:pPr>
    </w:p>
    <w:p w14:paraId="79442C94" w14:textId="503099FE" w:rsidR="004B53B6" w:rsidRDefault="004B53B6" w:rsidP="00844163">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t xml:space="preserve">Given the newly introduced common beam(s), the default PDSCH beam(s) defined in Rel. 15/Rel. 16 can be included in the new joint TCI framework. The default PDSCH beam(s) can be updated to follow the common QCL information given by the TCI state.   </w:t>
      </w:r>
    </w:p>
    <w:p w14:paraId="5365A6F3" w14:textId="370FBFE8" w:rsidR="004B53B6" w:rsidRDefault="004B53B6" w:rsidP="00844163">
      <w:pPr>
        <w:snapToGrid w:val="0"/>
        <w:spacing w:before="0" w:line="264" w:lineRule="auto"/>
        <w:ind w:firstLineChars="0" w:firstLine="0"/>
        <w:contextualSpacing/>
        <w:jc w:val="left"/>
        <w:rPr>
          <w:rFonts w:ascii="Calibri" w:hAnsi="Calibri" w:cs="Calibri"/>
          <w:b/>
          <w:bCs/>
          <w:sz w:val="22"/>
          <w:szCs w:val="22"/>
        </w:rPr>
      </w:pPr>
      <w:r w:rsidRPr="004B53B6">
        <w:rPr>
          <w:rFonts w:ascii="Calibri" w:hAnsi="Calibri" w:cs="Calibri"/>
          <w:b/>
          <w:bCs/>
          <w:sz w:val="22"/>
          <w:szCs w:val="22"/>
        </w:rPr>
        <w:t>Proposal 1: The common QCL information can indicate the PDSCH default beam(s).</w:t>
      </w:r>
    </w:p>
    <w:p w14:paraId="7241EA57" w14:textId="77777777" w:rsidR="00D03C77" w:rsidRPr="00D03C77" w:rsidRDefault="00D03C77" w:rsidP="00844163">
      <w:pPr>
        <w:snapToGrid w:val="0"/>
        <w:spacing w:before="0" w:line="264" w:lineRule="auto"/>
        <w:ind w:firstLineChars="0" w:firstLine="0"/>
        <w:contextualSpacing/>
        <w:jc w:val="left"/>
        <w:rPr>
          <w:rFonts w:ascii="Calibri" w:hAnsi="Calibri" w:cs="Calibri"/>
          <w:b/>
          <w:bCs/>
          <w:sz w:val="22"/>
          <w:szCs w:val="22"/>
        </w:rPr>
      </w:pPr>
    </w:p>
    <w:p w14:paraId="5DC65DB0" w14:textId="52B6F70D" w:rsidR="004B53B6" w:rsidRDefault="004B53B6" w:rsidP="00844163">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t xml:space="preserve">The common QCL information should also be extended to cover multi-TRP scenarios. This can be viewed </w:t>
      </w:r>
      <w:r w:rsidR="006C2E1D">
        <w:rPr>
          <w:rFonts w:ascii="Calibri" w:hAnsi="Calibri" w:cs="Calibri"/>
          <w:sz w:val="22"/>
          <w:szCs w:val="22"/>
        </w:rPr>
        <w:t xml:space="preserve">as </w:t>
      </w:r>
      <w:r>
        <w:rPr>
          <w:rFonts w:ascii="Calibri" w:hAnsi="Calibri" w:cs="Calibri"/>
          <w:sz w:val="22"/>
          <w:szCs w:val="22"/>
        </w:rPr>
        <w:t>extending the new unified TCI framework to include the multiple PDSCH default beams specified in Rel. 16 for multi-TRP operation.</w:t>
      </w:r>
    </w:p>
    <w:p w14:paraId="40F501B7" w14:textId="43FE929A" w:rsidR="004B53B6" w:rsidRDefault="004B53B6" w:rsidP="00844163">
      <w:pPr>
        <w:snapToGrid w:val="0"/>
        <w:spacing w:before="0" w:line="264" w:lineRule="auto"/>
        <w:ind w:firstLineChars="0" w:firstLine="0"/>
        <w:contextualSpacing/>
        <w:jc w:val="left"/>
        <w:rPr>
          <w:rFonts w:ascii="Calibri" w:hAnsi="Calibri" w:cs="Calibri"/>
          <w:b/>
          <w:bCs/>
          <w:sz w:val="22"/>
          <w:szCs w:val="22"/>
        </w:rPr>
      </w:pPr>
      <w:r w:rsidRPr="00553FC0">
        <w:rPr>
          <w:rFonts w:ascii="Calibri" w:hAnsi="Calibri" w:cs="Calibri"/>
          <w:b/>
          <w:bCs/>
          <w:sz w:val="22"/>
          <w:szCs w:val="22"/>
        </w:rPr>
        <w:t>Proposal 2: Extend common QCL information to apply for multi-TRP scenarios</w:t>
      </w:r>
      <w:r w:rsidR="00D03C77">
        <w:rPr>
          <w:rFonts w:ascii="Calibri" w:hAnsi="Calibri" w:cs="Calibri"/>
          <w:b/>
          <w:bCs/>
          <w:sz w:val="22"/>
          <w:szCs w:val="22"/>
        </w:rPr>
        <w:t>.</w:t>
      </w:r>
    </w:p>
    <w:p w14:paraId="184AFB4F" w14:textId="77777777" w:rsidR="00D03C77" w:rsidRPr="00D03C77" w:rsidRDefault="00D03C77" w:rsidP="00844163">
      <w:pPr>
        <w:snapToGrid w:val="0"/>
        <w:spacing w:before="0" w:line="264" w:lineRule="auto"/>
        <w:ind w:firstLineChars="0" w:firstLine="0"/>
        <w:contextualSpacing/>
        <w:jc w:val="left"/>
        <w:rPr>
          <w:rFonts w:ascii="Calibri" w:hAnsi="Calibri" w:cs="Calibri"/>
          <w:b/>
          <w:bCs/>
          <w:sz w:val="22"/>
          <w:szCs w:val="22"/>
        </w:rPr>
      </w:pPr>
    </w:p>
    <w:p w14:paraId="3CC90E8B" w14:textId="26697B89" w:rsidR="00DD0634" w:rsidRDefault="00E4554A" w:rsidP="00844163">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t>The unified TCI framework should allow for the reuse of the DL TCI state defined in Rel. 15/16</w:t>
      </w:r>
      <w:r w:rsidR="00DD0634">
        <w:rPr>
          <w:rFonts w:ascii="Calibri" w:hAnsi="Calibri" w:cs="Calibri"/>
          <w:sz w:val="22"/>
          <w:szCs w:val="22"/>
        </w:rPr>
        <w:t xml:space="preserve">. For the joint TCI state, the same TCI pool as that used for separate DL and UL beam indication can be used. </w:t>
      </w:r>
      <w:r w:rsidR="00190E52">
        <w:rPr>
          <w:rFonts w:ascii="Calibri" w:hAnsi="Calibri" w:cs="Calibri"/>
          <w:sz w:val="22"/>
          <w:szCs w:val="22"/>
        </w:rPr>
        <w:t>Moreover</w:t>
      </w:r>
      <w:r w:rsidR="00DD0634">
        <w:rPr>
          <w:rFonts w:ascii="Calibri" w:hAnsi="Calibri" w:cs="Calibri"/>
          <w:sz w:val="22"/>
          <w:szCs w:val="22"/>
        </w:rPr>
        <w:t>, for the case of separate beam indication for UL and DL, t</w:t>
      </w:r>
      <w:r w:rsidR="00190E52">
        <w:rPr>
          <w:rFonts w:ascii="Calibri" w:hAnsi="Calibri" w:cs="Calibri"/>
          <w:sz w:val="22"/>
          <w:szCs w:val="22"/>
        </w:rPr>
        <w:t xml:space="preserve">wo separate TCI states corresponding to QCL indication by different RS(s) can be utilized. These can be taken from different pools corresponding to </w:t>
      </w:r>
      <w:r w:rsidR="006C2E1D">
        <w:rPr>
          <w:rFonts w:ascii="Calibri" w:hAnsi="Calibri" w:cs="Calibri"/>
          <w:sz w:val="22"/>
          <w:szCs w:val="22"/>
        </w:rPr>
        <w:t>a</w:t>
      </w:r>
      <w:r w:rsidR="00190E52">
        <w:rPr>
          <w:rFonts w:ascii="Calibri" w:hAnsi="Calibri" w:cs="Calibri"/>
          <w:sz w:val="22"/>
          <w:szCs w:val="22"/>
        </w:rPr>
        <w:t xml:space="preserve"> TCI pool </w:t>
      </w:r>
      <w:r w:rsidR="006C2E1D">
        <w:rPr>
          <w:rFonts w:ascii="Calibri" w:hAnsi="Calibri" w:cs="Calibri"/>
          <w:sz w:val="22"/>
          <w:szCs w:val="22"/>
        </w:rPr>
        <w:t xml:space="preserve">on the DL </w:t>
      </w:r>
      <w:r w:rsidR="00190E52">
        <w:rPr>
          <w:rFonts w:ascii="Calibri" w:hAnsi="Calibri" w:cs="Calibri"/>
          <w:sz w:val="22"/>
          <w:szCs w:val="22"/>
        </w:rPr>
        <w:t xml:space="preserve">and </w:t>
      </w:r>
      <w:r w:rsidR="006C2E1D">
        <w:rPr>
          <w:rFonts w:ascii="Calibri" w:hAnsi="Calibri" w:cs="Calibri"/>
          <w:sz w:val="22"/>
          <w:szCs w:val="22"/>
        </w:rPr>
        <w:t xml:space="preserve">a </w:t>
      </w:r>
      <w:r w:rsidR="00190E52">
        <w:rPr>
          <w:rFonts w:ascii="Calibri" w:hAnsi="Calibri" w:cs="Calibri"/>
          <w:sz w:val="22"/>
          <w:szCs w:val="22"/>
        </w:rPr>
        <w:t>TCI pool</w:t>
      </w:r>
      <w:r w:rsidR="006C2E1D">
        <w:rPr>
          <w:rFonts w:ascii="Calibri" w:hAnsi="Calibri" w:cs="Calibri"/>
          <w:sz w:val="22"/>
          <w:szCs w:val="22"/>
        </w:rPr>
        <w:t xml:space="preserve"> on the UL</w:t>
      </w:r>
      <w:r w:rsidR="00190E52">
        <w:rPr>
          <w:rFonts w:ascii="Calibri" w:hAnsi="Calibri" w:cs="Calibri"/>
          <w:sz w:val="22"/>
          <w:szCs w:val="22"/>
        </w:rPr>
        <w:t xml:space="preserve">. </w:t>
      </w:r>
    </w:p>
    <w:p w14:paraId="31C3C442" w14:textId="3E4CD532" w:rsidR="00190E52" w:rsidRDefault="00190E52" w:rsidP="00844163">
      <w:pPr>
        <w:snapToGrid w:val="0"/>
        <w:spacing w:before="0" w:line="264" w:lineRule="auto"/>
        <w:ind w:firstLineChars="0" w:firstLine="0"/>
        <w:contextualSpacing/>
        <w:jc w:val="left"/>
        <w:rPr>
          <w:rFonts w:ascii="Calibri" w:hAnsi="Calibri" w:cs="Calibri"/>
          <w:sz w:val="22"/>
          <w:szCs w:val="22"/>
        </w:rPr>
      </w:pPr>
    </w:p>
    <w:p w14:paraId="249BA201" w14:textId="62F0C47A" w:rsidR="00190E52" w:rsidRPr="00190E52" w:rsidRDefault="00190E52" w:rsidP="00844163">
      <w:pPr>
        <w:snapToGrid w:val="0"/>
        <w:spacing w:before="0" w:line="264" w:lineRule="auto"/>
        <w:ind w:firstLineChars="0" w:firstLine="0"/>
        <w:contextualSpacing/>
        <w:jc w:val="left"/>
        <w:rPr>
          <w:rFonts w:ascii="Calibri" w:hAnsi="Calibri" w:cs="Calibri"/>
          <w:b/>
          <w:bCs/>
          <w:sz w:val="22"/>
          <w:szCs w:val="22"/>
        </w:rPr>
      </w:pPr>
      <w:r w:rsidRPr="00190E52">
        <w:rPr>
          <w:rFonts w:ascii="Calibri" w:hAnsi="Calibri" w:cs="Calibri"/>
          <w:b/>
          <w:bCs/>
          <w:sz w:val="22"/>
          <w:szCs w:val="22"/>
        </w:rPr>
        <w:t xml:space="preserve">Proposal 3: Utilize two separate TCI states, one for DL and one for UL for the case of separate beam indication for UL and DL </w:t>
      </w:r>
    </w:p>
    <w:p w14:paraId="0E6DAAAC" w14:textId="77777777" w:rsidR="00DD0634" w:rsidRDefault="00DD0634" w:rsidP="00844163">
      <w:pPr>
        <w:snapToGrid w:val="0"/>
        <w:spacing w:before="0" w:line="264" w:lineRule="auto"/>
        <w:ind w:firstLineChars="0" w:firstLine="0"/>
        <w:contextualSpacing/>
        <w:jc w:val="left"/>
        <w:rPr>
          <w:rFonts w:ascii="Calibri" w:hAnsi="Calibri" w:cs="Calibri"/>
          <w:sz w:val="22"/>
          <w:szCs w:val="22"/>
        </w:rPr>
      </w:pPr>
    </w:p>
    <w:p w14:paraId="06E032FF" w14:textId="4B0ADEF5" w:rsidR="00E4554A" w:rsidRDefault="00190E52" w:rsidP="00844163">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t xml:space="preserve">As the joint TCI state or the UL TCI state </w:t>
      </w:r>
      <w:r w:rsidR="006C2E1D">
        <w:rPr>
          <w:rFonts w:ascii="Calibri" w:hAnsi="Calibri" w:cs="Calibri"/>
          <w:sz w:val="22"/>
          <w:szCs w:val="22"/>
        </w:rPr>
        <w:t>are</w:t>
      </w:r>
      <w:r>
        <w:rPr>
          <w:rFonts w:ascii="Calibri" w:hAnsi="Calibri" w:cs="Calibri"/>
          <w:sz w:val="22"/>
          <w:szCs w:val="22"/>
        </w:rPr>
        <w:t xml:space="preserve"> used for UL beam indication, </w:t>
      </w:r>
      <w:r w:rsidR="006C2E1D">
        <w:rPr>
          <w:rFonts w:ascii="Calibri" w:hAnsi="Calibri" w:cs="Calibri"/>
          <w:sz w:val="22"/>
          <w:szCs w:val="22"/>
        </w:rPr>
        <w:t xml:space="preserve">depending on the beam correspondence assumptions, </w:t>
      </w:r>
      <w:r>
        <w:rPr>
          <w:rFonts w:ascii="Calibri" w:hAnsi="Calibri" w:cs="Calibri"/>
          <w:sz w:val="22"/>
          <w:szCs w:val="22"/>
        </w:rPr>
        <w:t>the previously defined</w:t>
      </w:r>
      <w:r w:rsidR="00E4554A">
        <w:rPr>
          <w:rFonts w:ascii="Calibri" w:hAnsi="Calibri" w:cs="Calibri"/>
          <w:sz w:val="22"/>
          <w:szCs w:val="22"/>
        </w:rPr>
        <w:t xml:space="preserve"> </w:t>
      </w:r>
      <w:r>
        <w:rPr>
          <w:rFonts w:ascii="Calibri" w:hAnsi="Calibri" w:cs="Calibri"/>
          <w:sz w:val="22"/>
          <w:szCs w:val="22"/>
        </w:rPr>
        <w:t>s</w:t>
      </w:r>
      <w:r w:rsidR="00E4554A">
        <w:rPr>
          <w:rFonts w:ascii="Calibri" w:hAnsi="Calibri" w:cs="Calibri"/>
          <w:sz w:val="22"/>
          <w:szCs w:val="22"/>
        </w:rPr>
        <w:t xml:space="preserve">patial relation info </w:t>
      </w:r>
      <w:r w:rsidR="006C2E1D">
        <w:rPr>
          <w:rFonts w:ascii="Calibri" w:hAnsi="Calibri" w:cs="Calibri"/>
          <w:sz w:val="22"/>
          <w:szCs w:val="22"/>
        </w:rPr>
        <w:t>might</w:t>
      </w:r>
      <w:r w:rsidR="00E4554A">
        <w:rPr>
          <w:rFonts w:ascii="Calibri" w:hAnsi="Calibri" w:cs="Calibri"/>
          <w:sz w:val="22"/>
          <w:szCs w:val="22"/>
        </w:rPr>
        <w:t xml:space="preserve"> not be needed</w:t>
      </w:r>
      <w:r>
        <w:rPr>
          <w:rFonts w:ascii="Calibri" w:hAnsi="Calibri" w:cs="Calibri"/>
          <w:sz w:val="22"/>
          <w:szCs w:val="22"/>
        </w:rPr>
        <w:t xml:space="preserve">, the </w:t>
      </w:r>
      <w:proofErr w:type="spellStart"/>
      <w:r>
        <w:rPr>
          <w:rFonts w:ascii="Calibri" w:hAnsi="Calibri" w:cs="Calibri"/>
          <w:sz w:val="22"/>
          <w:szCs w:val="22"/>
        </w:rPr>
        <w:t>gNB</w:t>
      </w:r>
      <w:proofErr w:type="spellEnd"/>
      <w:r>
        <w:rPr>
          <w:rFonts w:ascii="Calibri" w:hAnsi="Calibri" w:cs="Calibri"/>
          <w:sz w:val="22"/>
          <w:szCs w:val="22"/>
        </w:rPr>
        <w:t xml:space="preserve"> can therefore choose to disable the spatial relation info indication for the UEs that support the newly defined unified TCI framework. </w:t>
      </w:r>
    </w:p>
    <w:p w14:paraId="225FD624" w14:textId="51A6F63F" w:rsidR="00E4554A" w:rsidRDefault="00E4554A" w:rsidP="00844163">
      <w:pPr>
        <w:snapToGrid w:val="0"/>
        <w:spacing w:before="0" w:line="264" w:lineRule="auto"/>
        <w:ind w:firstLineChars="0" w:firstLine="0"/>
        <w:contextualSpacing/>
        <w:jc w:val="left"/>
        <w:rPr>
          <w:rFonts w:ascii="Calibri" w:hAnsi="Calibri" w:cs="Calibri"/>
          <w:sz w:val="22"/>
          <w:szCs w:val="22"/>
        </w:rPr>
      </w:pPr>
    </w:p>
    <w:p w14:paraId="3E863A52" w14:textId="0F97C59E" w:rsidR="002C172C" w:rsidRPr="00D03C77" w:rsidRDefault="00E4554A" w:rsidP="00D03C77">
      <w:pPr>
        <w:snapToGrid w:val="0"/>
        <w:spacing w:before="0" w:line="264" w:lineRule="auto"/>
        <w:ind w:firstLineChars="0" w:firstLine="0"/>
        <w:contextualSpacing/>
        <w:jc w:val="left"/>
        <w:rPr>
          <w:rFonts w:ascii="Calibri" w:hAnsi="Calibri" w:cs="Calibri"/>
          <w:b/>
          <w:bCs/>
          <w:sz w:val="22"/>
          <w:szCs w:val="22"/>
        </w:rPr>
      </w:pPr>
      <w:r w:rsidRPr="00DD0634">
        <w:rPr>
          <w:rFonts w:ascii="Calibri" w:hAnsi="Calibri" w:cs="Calibri"/>
          <w:b/>
          <w:bCs/>
          <w:sz w:val="22"/>
          <w:szCs w:val="22"/>
        </w:rPr>
        <w:t xml:space="preserve">Proposal </w:t>
      </w:r>
      <w:r w:rsidR="00190E52">
        <w:rPr>
          <w:rFonts w:ascii="Calibri" w:hAnsi="Calibri" w:cs="Calibri"/>
          <w:b/>
          <w:bCs/>
          <w:sz w:val="22"/>
          <w:szCs w:val="22"/>
        </w:rPr>
        <w:t>4</w:t>
      </w:r>
      <w:r w:rsidRPr="00DD0634">
        <w:rPr>
          <w:rFonts w:ascii="Calibri" w:hAnsi="Calibri" w:cs="Calibri"/>
          <w:b/>
          <w:bCs/>
          <w:sz w:val="22"/>
          <w:szCs w:val="22"/>
        </w:rPr>
        <w:t xml:space="preserve">: </w:t>
      </w:r>
      <w:r w:rsidR="00DD0634" w:rsidRPr="00DD0634">
        <w:rPr>
          <w:rFonts w:ascii="Calibri" w:hAnsi="Calibri" w:cs="Calibri"/>
          <w:b/>
          <w:bCs/>
          <w:sz w:val="22"/>
          <w:szCs w:val="22"/>
        </w:rPr>
        <w:t>Once the joint TCI state or UL TCI state are enabled, the spatial relation info is not needed for UL beam indication.</w:t>
      </w:r>
    </w:p>
    <w:p w14:paraId="2EE882FC" w14:textId="5EE41CF2" w:rsidR="00401124" w:rsidRDefault="002C172C" w:rsidP="00401124">
      <w:pPr>
        <w:pStyle w:val="Heading1"/>
      </w:pPr>
      <w:r>
        <w:t xml:space="preserve">Dynamic TCI state update </w:t>
      </w:r>
      <w:r w:rsidR="00FD4B33">
        <w:t>signalling</w:t>
      </w:r>
    </w:p>
    <w:p w14:paraId="502F44F6" w14:textId="1144B2B6" w:rsidR="004569DE" w:rsidRDefault="004569DE" w:rsidP="0058024D">
      <w:pPr>
        <w:ind w:firstLineChars="0" w:firstLine="0"/>
        <w:rPr>
          <w:rFonts w:ascii="Calibri" w:hAnsi="Calibri" w:cs="Calibri"/>
          <w:sz w:val="22"/>
          <w:szCs w:val="22"/>
          <w:lang w:val="en-GB" w:eastAsia="en-US"/>
        </w:rPr>
      </w:pPr>
      <w:r>
        <w:rPr>
          <w:rFonts w:ascii="Calibri" w:hAnsi="Calibri" w:cs="Calibri"/>
          <w:sz w:val="22"/>
          <w:szCs w:val="22"/>
          <w:lang w:val="en-GB" w:eastAsia="en-US"/>
        </w:rPr>
        <w:t xml:space="preserve">The unified TCI framework agreed in RAN1#102e addresses the issue of having a common beam for PDSCH and PDCCH. While this was supported in Rel. 15 and Rel. 16, with the PDSCH beam following that of the PDCCH, the </w:t>
      </w:r>
      <w:r w:rsidR="00E62641">
        <w:rPr>
          <w:rFonts w:ascii="Calibri" w:hAnsi="Calibri" w:cs="Calibri"/>
          <w:sz w:val="22"/>
          <w:szCs w:val="22"/>
          <w:lang w:val="en-GB" w:eastAsia="en-US"/>
        </w:rPr>
        <w:t>CORESET beam switch</w:t>
      </w:r>
      <w:r>
        <w:rPr>
          <w:rFonts w:ascii="Calibri" w:hAnsi="Calibri" w:cs="Calibri"/>
          <w:sz w:val="22"/>
          <w:szCs w:val="22"/>
          <w:lang w:val="en-GB" w:eastAsia="en-US"/>
        </w:rPr>
        <w:t xml:space="preserve"> was based on MAC-CE. To reduce the latency and the overhead of beam switching, a more dynamic</w:t>
      </w:r>
      <w:r w:rsidR="00E62641">
        <w:rPr>
          <w:rFonts w:ascii="Calibri" w:hAnsi="Calibri" w:cs="Calibri"/>
          <w:sz w:val="22"/>
          <w:szCs w:val="22"/>
          <w:lang w:val="en-GB" w:eastAsia="en-US"/>
        </w:rPr>
        <w:t xml:space="preserve"> DCI based</w:t>
      </w:r>
      <w:r>
        <w:rPr>
          <w:rFonts w:ascii="Calibri" w:hAnsi="Calibri" w:cs="Calibri"/>
          <w:sz w:val="22"/>
          <w:szCs w:val="22"/>
          <w:lang w:val="en-GB" w:eastAsia="en-US"/>
        </w:rPr>
        <w:t xml:space="preserve"> TCI state update can be considered</w:t>
      </w:r>
      <w:r w:rsidR="0058024D">
        <w:rPr>
          <w:rFonts w:ascii="Calibri" w:hAnsi="Calibri" w:cs="Calibri"/>
          <w:sz w:val="22"/>
          <w:szCs w:val="22"/>
          <w:lang w:val="en-GB" w:eastAsia="en-US"/>
        </w:rPr>
        <w:t>. This is especially useful for mobility applications, where the PDCCH beam needs to be switched more often</w:t>
      </w:r>
      <w:r w:rsidR="006C2E1D">
        <w:rPr>
          <w:rFonts w:ascii="Calibri" w:hAnsi="Calibri" w:cs="Calibri"/>
          <w:sz w:val="22"/>
          <w:szCs w:val="22"/>
          <w:lang w:val="en-GB" w:eastAsia="en-US"/>
        </w:rPr>
        <w:t>, and the latency from the MAC-CE based switching is too large.</w:t>
      </w:r>
      <w:r w:rsidR="0058024D">
        <w:rPr>
          <w:rFonts w:ascii="Calibri" w:hAnsi="Calibri" w:cs="Calibri"/>
          <w:sz w:val="22"/>
          <w:szCs w:val="22"/>
          <w:lang w:val="en-GB" w:eastAsia="en-US"/>
        </w:rPr>
        <w:t xml:space="preserve"> </w:t>
      </w:r>
      <w:r w:rsidR="00E62641">
        <w:rPr>
          <w:rFonts w:ascii="Calibri" w:hAnsi="Calibri" w:cs="Calibri"/>
          <w:sz w:val="22"/>
          <w:szCs w:val="22"/>
          <w:lang w:val="en-GB" w:eastAsia="en-US"/>
        </w:rPr>
        <w:t xml:space="preserve"> </w:t>
      </w:r>
    </w:p>
    <w:p w14:paraId="52A4885A" w14:textId="1DB22171" w:rsidR="0058024D" w:rsidRPr="00BF6299" w:rsidRDefault="004569DE" w:rsidP="0058024D">
      <w:pPr>
        <w:ind w:firstLineChars="0" w:firstLine="0"/>
        <w:rPr>
          <w:rFonts w:ascii="Calibri" w:hAnsi="Calibri" w:cs="Calibri"/>
          <w:b/>
          <w:bCs/>
          <w:sz w:val="22"/>
          <w:szCs w:val="22"/>
          <w:lang w:val="en-GB" w:eastAsia="en-US"/>
        </w:rPr>
      </w:pPr>
      <w:r w:rsidRPr="0058024D">
        <w:rPr>
          <w:rFonts w:ascii="Calibri" w:hAnsi="Calibri" w:cs="Calibri"/>
          <w:b/>
          <w:bCs/>
          <w:sz w:val="22"/>
          <w:szCs w:val="22"/>
          <w:lang w:val="en-GB" w:eastAsia="en-US"/>
        </w:rPr>
        <w:t xml:space="preserve">Proposal 5: DCI based TCI state update </w:t>
      </w:r>
      <w:r w:rsidR="00BF6299">
        <w:rPr>
          <w:rFonts w:ascii="Calibri" w:hAnsi="Calibri" w:cs="Calibri"/>
          <w:b/>
          <w:bCs/>
          <w:sz w:val="22"/>
          <w:szCs w:val="22"/>
          <w:lang w:val="en-GB" w:eastAsia="en-US"/>
        </w:rPr>
        <w:t>should be</w:t>
      </w:r>
      <w:r w:rsidRPr="0058024D">
        <w:rPr>
          <w:rFonts w:ascii="Calibri" w:hAnsi="Calibri" w:cs="Calibri"/>
          <w:b/>
          <w:bCs/>
          <w:sz w:val="22"/>
          <w:szCs w:val="22"/>
          <w:lang w:val="en-GB" w:eastAsia="en-US"/>
        </w:rPr>
        <w:t xml:space="preserve"> </w:t>
      </w:r>
      <w:r w:rsidR="00BF6299">
        <w:rPr>
          <w:rFonts w:ascii="Calibri" w:hAnsi="Calibri" w:cs="Calibri"/>
          <w:b/>
          <w:bCs/>
          <w:sz w:val="22"/>
          <w:szCs w:val="22"/>
          <w:lang w:val="en-GB" w:eastAsia="en-US"/>
        </w:rPr>
        <w:t>supported</w:t>
      </w:r>
      <w:r w:rsidRPr="0058024D">
        <w:rPr>
          <w:rFonts w:ascii="Calibri" w:hAnsi="Calibri" w:cs="Calibri"/>
          <w:b/>
          <w:bCs/>
          <w:sz w:val="22"/>
          <w:szCs w:val="22"/>
          <w:lang w:val="en-GB" w:eastAsia="en-US"/>
        </w:rPr>
        <w:t xml:space="preserve"> </w:t>
      </w:r>
    </w:p>
    <w:p w14:paraId="0843C00F" w14:textId="57EE4747" w:rsidR="000B6E14" w:rsidRPr="00D03C77" w:rsidRDefault="00550B4C" w:rsidP="00D03C77">
      <w:pPr>
        <w:pStyle w:val="Heading1"/>
      </w:pPr>
      <w:r>
        <w:lastRenderedPageBreak/>
        <w:t>MP-UE assumption to facilitate fast UL panel selection</w:t>
      </w:r>
    </w:p>
    <w:p w14:paraId="769C2DAE" w14:textId="26070167" w:rsidR="00EF3FEB" w:rsidRDefault="00FD4B33" w:rsidP="00EF3FEB">
      <w:pPr>
        <w:spacing w:line="264" w:lineRule="auto"/>
        <w:ind w:firstLineChars="0" w:firstLine="0"/>
        <w:rPr>
          <w:rFonts w:ascii="Calibri" w:hAnsi="Calibri" w:cs="Calibri"/>
          <w:sz w:val="22"/>
          <w:szCs w:val="22"/>
          <w:lang w:val="en-GB"/>
        </w:rPr>
      </w:pPr>
      <w:r>
        <w:rPr>
          <w:rFonts w:ascii="Calibri" w:hAnsi="Calibri" w:cs="Calibri"/>
          <w:sz w:val="22"/>
          <w:szCs w:val="22"/>
          <w:lang w:val="en-GB"/>
        </w:rPr>
        <w:t xml:space="preserve">To facilitate fast UL panel selection for a UE with multiple panels, we can make use of the unified TCI framework. </w:t>
      </w:r>
      <w:r w:rsidR="000B6E14" w:rsidRPr="000E4D2E">
        <w:rPr>
          <w:rFonts w:ascii="Calibri" w:hAnsi="Calibri" w:cs="Calibri"/>
          <w:sz w:val="22"/>
          <w:szCs w:val="22"/>
          <w:lang w:val="en-GB"/>
        </w:rPr>
        <w:t xml:space="preserve">In Rel. 16, an identifier was introduced to facilitate panel specific UL beam selection. Such an identifier is not needed when using </w:t>
      </w:r>
      <w:r w:rsidR="00FC18D0">
        <w:rPr>
          <w:rFonts w:ascii="Calibri" w:hAnsi="Calibri" w:cs="Calibri"/>
          <w:sz w:val="22"/>
          <w:szCs w:val="22"/>
          <w:lang w:val="en-GB"/>
        </w:rPr>
        <w:t>a joint TCI or an</w:t>
      </w:r>
      <w:r w:rsidR="000B6E14" w:rsidRPr="000E4D2E">
        <w:rPr>
          <w:rFonts w:ascii="Calibri" w:hAnsi="Calibri" w:cs="Calibri"/>
          <w:sz w:val="22"/>
          <w:szCs w:val="22"/>
          <w:lang w:val="en-GB"/>
        </w:rPr>
        <w:t xml:space="preserve"> UL TCI</w:t>
      </w:r>
      <w:r w:rsidR="00FC18D0">
        <w:rPr>
          <w:rFonts w:ascii="Calibri" w:hAnsi="Calibri" w:cs="Calibri"/>
          <w:sz w:val="22"/>
          <w:szCs w:val="22"/>
          <w:lang w:val="en-GB"/>
        </w:rPr>
        <w:t xml:space="preserve"> state</w:t>
      </w:r>
      <w:r w:rsidR="000B6E14" w:rsidRPr="000E4D2E">
        <w:rPr>
          <w:rFonts w:ascii="Calibri" w:hAnsi="Calibri" w:cs="Calibri"/>
          <w:sz w:val="22"/>
          <w:szCs w:val="22"/>
          <w:lang w:val="en-GB"/>
        </w:rPr>
        <w:t xml:space="preserve">. </w:t>
      </w:r>
      <w:r w:rsidR="00FC18D0">
        <w:rPr>
          <w:rFonts w:ascii="Calibri" w:hAnsi="Calibri" w:cs="Calibri"/>
          <w:sz w:val="22"/>
          <w:szCs w:val="22"/>
          <w:lang w:val="en-GB"/>
        </w:rPr>
        <w:t>The TCI state pool can itself be used to differentiate between the panels for UL transmission. One example is that a subset of the TCI states can be used to indicate a particular UE panel</w:t>
      </w:r>
      <w:r w:rsidR="006C2E1D">
        <w:rPr>
          <w:rFonts w:ascii="Calibri" w:hAnsi="Calibri" w:cs="Calibri"/>
          <w:sz w:val="22"/>
          <w:szCs w:val="22"/>
          <w:lang w:val="en-GB"/>
        </w:rPr>
        <w:t xml:space="preserve">, and the network can infer the UE panel from the TCI state update. </w:t>
      </w:r>
    </w:p>
    <w:p w14:paraId="2C4618F4" w14:textId="6B316268" w:rsidR="000B6E14" w:rsidRPr="00D03C77" w:rsidRDefault="000B6E14" w:rsidP="00D03C77">
      <w:pPr>
        <w:spacing w:line="264" w:lineRule="auto"/>
        <w:ind w:firstLineChars="0" w:firstLine="0"/>
        <w:rPr>
          <w:rFonts w:ascii="Calibri" w:hAnsi="Calibri" w:cs="Calibri"/>
          <w:sz w:val="22"/>
          <w:szCs w:val="22"/>
          <w:lang w:val="en-GB"/>
        </w:rPr>
      </w:pPr>
      <w:r w:rsidRPr="000E4D2E">
        <w:rPr>
          <w:rFonts w:ascii="Calibri" w:hAnsi="Calibri" w:cs="Calibri"/>
          <w:b/>
          <w:bCs/>
          <w:sz w:val="22"/>
          <w:szCs w:val="22"/>
          <w:lang w:val="en-GB"/>
        </w:rPr>
        <w:t>Proposal</w:t>
      </w:r>
      <w:r>
        <w:rPr>
          <w:rFonts w:ascii="Calibri" w:hAnsi="Calibri" w:cs="Calibri"/>
          <w:b/>
          <w:bCs/>
          <w:sz w:val="22"/>
          <w:szCs w:val="22"/>
          <w:lang w:val="en-GB"/>
        </w:rPr>
        <w:t xml:space="preserve"> </w:t>
      </w:r>
      <w:r w:rsidR="00EF3FEB">
        <w:rPr>
          <w:rFonts w:ascii="Calibri" w:hAnsi="Calibri" w:cs="Calibri"/>
          <w:b/>
          <w:bCs/>
          <w:sz w:val="22"/>
          <w:szCs w:val="22"/>
          <w:lang w:val="en-GB"/>
        </w:rPr>
        <w:t>6</w:t>
      </w:r>
      <w:r w:rsidRPr="000E4D2E">
        <w:rPr>
          <w:rFonts w:ascii="Calibri" w:hAnsi="Calibri" w:cs="Calibri"/>
          <w:b/>
          <w:bCs/>
          <w:sz w:val="22"/>
          <w:szCs w:val="22"/>
          <w:lang w:val="en-GB"/>
        </w:rPr>
        <w:t xml:space="preserve">: </w:t>
      </w:r>
      <w:r w:rsidR="00FC18D0">
        <w:rPr>
          <w:rFonts w:ascii="Calibri" w:hAnsi="Calibri" w:cs="Calibri"/>
          <w:b/>
          <w:bCs/>
          <w:sz w:val="22"/>
          <w:szCs w:val="22"/>
          <w:lang w:val="en-GB"/>
        </w:rPr>
        <w:t>Explicit p</w:t>
      </w:r>
      <w:r w:rsidRPr="000E4D2E">
        <w:rPr>
          <w:rFonts w:ascii="Calibri" w:hAnsi="Calibri" w:cs="Calibri"/>
          <w:b/>
          <w:bCs/>
          <w:sz w:val="22"/>
          <w:szCs w:val="22"/>
          <w:lang w:val="en-GB"/>
        </w:rPr>
        <w:t xml:space="preserve">anel identifier is not needed </w:t>
      </w:r>
      <w:r w:rsidR="00FC18D0">
        <w:rPr>
          <w:rFonts w:ascii="Calibri" w:hAnsi="Calibri" w:cs="Calibri"/>
          <w:b/>
          <w:bCs/>
          <w:sz w:val="22"/>
          <w:szCs w:val="22"/>
          <w:lang w:val="en-GB"/>
        </w:rPr>
        <w:t xml:space="preserve">for fast panel selection </w:t>
      </w:r>
    </w:p>
    <w:p w14:paraId="70241230" w14:textId="7F1B05A7" w:rsidR="00990115" w:rsidRDefault="00FC18D0" w:rsidP="00401124">
      <w:pPr>
        <w:pStyle w:val="Heading1"/>
      </w:pPr>
      <w:r>
        <w:t xml:space="preserve">Enhancements for Improved Coverage and Reduced Latency </w:t>
      </w:r>
    </w:p>
    <w:p w14:paraId="08D753B8" w14:textId="7A695B2B" w:rsidR="00B80711" w:rsidRDefault="00B80711" w:rsidP="00990115">
      <w:pPr>
        <w:pStyle w:val="maintext"/>
        <w:rPr>
          <w:sz w:val="22"/>
          <w:szCs w:val="22"/>
        </w:rPr>
      </w:pPr>
      <w:r>
        <w:rPr>
          <w:sz w:val="22"/>
          <w:szCs w:val="22"/>
        </w:rPr>
        <w:t xml:space="preserve">One of the objectives of the beam management agenda item in Rel. 17 is to identify and specify features that facilitate a more efficient beam management procedure. </w:t>
      </w:r>
      <w:r w:rsidR="00553FC0">
        <w:rPr>
          <w:sz w:val="22"/>
          <w:szCs w:val="22"/>
        </w:rPr>
        <w:t>We propose an enhancement to the beam acquisition in initial access to improve the latency and coverage.</w:t>
      </w:r>
    </w:p>
    <w:p w14:paraId="5F20ADA3" w14:textId="2F346A1B" w:rsidR="00176ECF" w:rsidRPr="00223ED0" w:rsidRDefault="00513577" w:rsidP="00990115">
      <w:pPr>
        <w:pStyle w:val="maintext"/>
        <w:rPr>
          <w:sz w:val="22"/>
          <w:szCs w:val="22"/>
        </w:rPr>
      </w:pPr>
      <w:r w:rsidRPr="00223ED0">
        <w:rPr>
          <w:sz w:val="22"/>
          <w:szCs w:val="22"/>
        </w:rPr>
        <w:t xml:space="preserve">During initial cell search, in the NR 4-step random access procedure, beam measurement and reporting is performed using SS/PBCH blocks. The </w:t>
      </w:r>
      <w:proofErr w:type="spellStart"/>
      <w:r w:rsidRPr="00223ED0">
        <w:rPr>
          <w:sz w:val="22"/>
          <w:szCs w:val="22"/>
        </w:rPr>
        <w:t>gNB</w:t>
      </w:r>
      <w:proofErr w:type="spellEnd"/>
      <w:r w:rsidRPr="00223ED0">
        <w:rPr>
          <w:sz w:val="22"/>
          <w:szCs w:val="22"/>
        </w:rPr>
        <w:t xml:space="preserve"> transmits multiple SS/PBCH blocks with different spatial filters, and the UE measures and selects the beam based on SS-RSRP. The UE transmits the PRACH according to the detected best beam. At the </w:t>
      </w:r>
      <w:proofErr w:type="spellStart"/>
      <w:r w:rsidRPr="00223ED0">
        <w:rPr>
          <w:sz w:val="22"/>
          <w:szCs w:val="22"/>
        </w:rPr>
        <w:t>gNB</w:t>
      </w:r>
      <w:proofErr w:type="spellEnd"/>
      <w:r w:rsidRPr="00223ED0">
        <w:rPr>
          <w:sz w:val="22"/>
          <w:szCs w:val="22"/>
        </w:rPr>
        <w:t>, the SS/PBCH block is derived from the PRACH preamble/resource of msg. 1.</w:t>
      </w:r>
      <w:r w:rsidR="00FE0187" w:rsidRPr="00223ED0">
        <w:rPr>
          <w:sz w:val="22"/>
          <w:szCs w:val="22"/>
        </w:rPr>
        <w:t xml:space="preserve"> </w:t>
      </w:r>
      <w:r w:rsidR="00176ECF" w:rsidRPr="00223ED0">
        <w:rPr>
          <w:sz w:val="22"/>
          <w:szCs w:val="22"/>
        </w:rPr>
        <w:t xml:space="preserve">The </w:t>
      </w:r>
      <w:proofErr w:type="spellStart"/>
      <w:r w:rsidR="00176ECF" w:rsidRPr="00223ED0">
        <w:rPr>
          <w:sz w:val="22"/>
          <w:szCs w:val="22"/>
        </w:rPr>
        <w:t>gNB</w:t>
      </w:r>
      <w:proofErr w:type="spellEnd"/>
      <w:r w:rsidR="00176ECF" w:rsidRPr="00223ED0">
        <w:rPr>
          <w:sz w:val="22"/>
          <w:szCs w:val="22"/>
        </w:rPr>
        <w:t xml:space="preserve"> then uses the selected beam based on msg. 1 for subsequent msg.2</w:t>
      </w:r>
      <w:r w:rsidR="00B80711">
        <w:rPr>
          <w:sz w:val="22"/>
          <w:szCs w:val="22"/>
        </w:rPr>
        <w:t xml:space="preserve">, </w:t>
      </w:r>
      <w:r w:rsidR="00176ECF" w:rsidRPr="00223ED0">
        <w:rPr>
          <w:sz w:val="22"/>
          <w:szCs w:val="22"/>
        </w:rPr>
        <w:t>msg.4 PDSCH transmissions</w:t>
      </w:r>
      <w:r w:rsidR="00B80711">
        <w:rPr>
          <w:sz w:val="22"/>
          <w:szCs w:val="22"/>
        </w:rPr>
        <w:t xml:space="preserve">, </w:t>
      </w:r>
      <w:r w:rsidR="00176ECF" w:rsidRPr="00223ED0">
        <w:rPr>
          <w:sz w:val="22"/>
          <w:szCs w:val="22"/>
        </w:rPr>
        <w:t xml:space="preserve"> </w:t>
      </w:r>
    </w:p>
    <w:p w14:paraId="580733C9" w14:textId="19FEB26B" w:rsidR="00682F0E" w:rsidRDefault="00682F0E" w:rsidP="00223ED0">
      <w:pPr>
        <w:pStyle w:val="maintext"/>
        <w:rPr>
          <w:sz w:val="22"/>
          <w:szCs w:val="22"/>
        </w:rPr>
      </w:pPr>
    </w:p>
    <w:p w14:paraId="4E8B479A" w14:textId="77777777" w:rsidR="00682F0E" w:rsidRDefault="00682F0E" w:rsidP="00682F0E">
      <w:pPr>
        <w:pStyle w:val="maintext"/>
        <w:jc w:val="center"/>
      </w:pPr>
      <w:r>
        <w:rPr>
          <w:noProof/>
          <w:lang w:val="en-US" w:eastAsia="en-US"/>
        </w:rPr>
        <mc:AlternateContent>
          <mc:Choice Requires="wps">
            <w:drawing>
              <wp:anchor distT="0" distB="0" distL="114300" distR="114300" simplePos="0" relativeHeight="251659264" behindDoc="0" locked="0" layoutInCell="1" allowOverlap="1" wp14:anchorId="03DADDC3" wp14:editId="7E7A40C7">
                <wp:simplePos x="0" y="0"/>
                <wp:positionH relativeFrom="column">
                  <wp:posOffset>887730</wp:posOffset>
                </wp:positionH>
                <wp:positionV relativeFrom="paragraph">
                  <wp:posOffset>2858770</wp:posOffset>
                </wp:positionV>
                <wp:extent cx="4315460" cy="361950"/>
                <wp:effectExtent l="1905" t="0" r="0" b="635"/>
                <wp:wrapTopAndBottom/>
                <wp:docPr id="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546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B36088" w14:textId="77777777" w:rsidR="00682F0E" w:rsidRPr="00A63284" w:rsidRDefault="00682F0E" w:rsidP="00682F0E">
                            <w:pPr>
                              <w:pStyle w:val="Caption"/>
                              <w:ind w:firstLine="181"/>
                              <w:rPr>
                                <w:rFonts w:ascii="Calibri" w:hAnsi="Calibri" w:cs="Arial"/>
                                <w:noProof/>
                                <w:sz w:val="16"/>
                                <w:lang w:eastAsia="ko-KR"/>
                              </w:rPr>
                            </w:pPr>
                            <w:r w:rsidRPr="00A63284">
                              <w:rPr>
                                <w:rFonts w:ascii="Calibri" w:hAnsi="Calibri"/>
                                <w:sz w:val="18"/>
                              </w:rPr>
                              <w:t xml:space="preserve">Figure </w:t>
                            </w:r>
                            <w:r w:rsidRPr="00A63284">
                              <w:rPr>
                                <w:rFonts w:ascii="Calibri" w:hAnsi="Calibri"/>
                                <w:sz w:val="18"/>
                              </w:rPr>
                              <w:fldChar w:fldCharType="begin"/>
                            </w:r>
                            <w:r w:rsidRPr="00A63284">
                              <w:rPr>
                                <w:rFonts w:ascii="Calibri" w:hAnsi="Calibri"/>
                                <w:sz w:val="18"/>
                              </w:rPr>
                              <w:instrText xml:space="preserve"> SEQ Figure \* ARABIC </w:instrText>
                            </w:r>
                            <w:r w:rsidRPr="00A63284">
                              <w:rPr>
                                <w:rFonts w:ascii="Calibri" w:hAnsi="Calibri"/>
                                <w:sz w:val="18"/>
                              </w:rPr>
                              <w:fldChar w:fldCharType="separate"/>
                            </w:r>
                            <w:r>
                              <w:rPr>
                                <w:rFonts w:ascii="Calibri" w:hAnsi="Calibri"/>
                                <w:noProof/>
                                <w:sz w:val="18"/>
                              </w:rPr>
                              <w:t>1</w:t>
                            </w:r>
                            <w:r w:rsidRPr="00A63284">
                              <w:rPr>
                                <w:rFonts w:ascii="Calibri" w:hAnsi="Calibri"/>
                                <w:sz w:val="18"/>
                              </w:rPr>
                              <w:fldChar w:fldCharType="end"/>
                            </w:r>
                            <w:r w:rsidRPr="00A63284">
                              <w:rPr>
                                <w:rFonts w:ascii="Calibri" w:hAnsi="Calibri"/>
                                <w:sz w:val="18"/>
                              </w:rPr>
                              <w:t>: An example of indicating alternative beams in msg. 3 of RACH procedure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3DADDC3" id="_x0000_t202" coordsize="21600,21600" o:spt="202" path="m,l,21600r21600,l21600,xe">
                <v:stroke joinstyle="miter"/>
                <v:path gradientshapeok="t" o:connecttype="rect"/>
              </v:shapetype>
              <v:shape id="Text Box 46" o:spid="_x0000_s1026" type="#_x0000_t202" style="position:absolute;left:0;text-align:left;margin-left:69.9pt;margin-top:225.1pt;width:339.8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" stroked="f">
                <v:textbox style="mso-fit-shape-to-text:t" inset="0,0,0,0">
                  <w:txbxContent>
                    <w:p w14:paraId="7AB36088" w14:textId="77777777" w:rsidR="00682F0E" w:rsidRPr="00A63284" w:rsidRDefault="00682F0E" w:rsidP="00682F0E">
                      <w:pPr>
                        <w:pStyle w:val="Caption"/>
                        <w:ind w:firstLine="181"/>
                        <w:rPr>
                          <w:rFonts w:ascii="Calibri" w:hAnsi="Calibri" w:cs="Arial"/>
                          <w:noProof/>
                          <w:sz w:val="16"/>
                          <w:lang w:eastAsia="ko-KR"/>
                        </w:rPr>
                      </w:pPr>
                      <w:r w:rsidRPr="00A63284">
                        <w:rPr>
                          <w:rFonts w:ascii="Calibri" w:hAnsi="Calibri"/>
                          <w:sz w:val="18"/>
                        </w:rPr>
                        <w:t xml:space="preserve">Figure </w:t>
                      </w:r>
                      <w:r w:rsidRPr="00A63284">
                        <w:rPr>
                          <w:rFonts w:ascii="Calibri" w:hAnsi="Calibri"/>
                          <w:sz w:val="18"/>
                        </w:rPr>
                        <w:fldChar w:fldCharType="begin"/>
                      </w:r>
                      <w:r w:rsidRPr="00A63284">
                        <w:rPr>
                          <w:rFonts w:ascii="Calibri" w:hAnsi="Calibri"/>
                          <w:sz w:val="18"/>
                        </w:rPr>
                        <w:instrText xml:space="preserve"> SEQ Figure \* ARABIC </w:instrText>
                      </w:r>
                      <w:r w:rsidRPr="00A63284">
                        <w:rPr>
                          <w:rFonts w:ascii="Calibri" w:hAnsi="Calibri"/>
                          <w:sz w:val="18"/>
                        </w:rPr>
                        <w:fldChar w:fldCharType="separate"/>
                      </w:r>
                      <w:r>
                        <w:rPr>
                          <w:rFonts w:ascii="Calibri" w:hAnsi="Calibri"/>
                          <w:noProof/>
                          <w:sz w:val="18"/>
                        </w:rPr>
                        <w:t>1</w:t>
                      </w:r>
                      <w:r w:rsidRPr="00A63284">
                        <w:rPr>
                          <w:rFonts w:ascii="Calibri" w:hAnsi="Calibri"/>
                          <w:sz w:val="18"/>
                        </w:rPr>
                        <w:fldChar w:fldCharType="end"/>
                      </w:r>
                      <w:r w:rsidRPr="00A63284">
                        <w:rPr>
                          <w:rFonts w:ascii="Calibri" w:hAnsi="Calibri"/>
                          <w:sz w:val="18"/>
                        </w:rPr>
                        <w:t>: An example of indicating alternative beams in msg. 3 of RACH procedure</w:t>
                      </w:r>
                    </w:p>
                  </w:txbxContent>
                </v:textbox>
                <w10:wrap type="topAndBottom"/>
              </v:shape>
            </w:pict>
          </mc:Fallback>
        </mc:AlternateContent>
      </w:r>
      <w:r>
        <w:rPr>
          <w:rFonts w:eastAsia="SimSun" w:cs="Arial"/>
          <w:noProof/>
          <w:lang w:val="en-US" w:eastAsia="en-US"/>
        </w:rPr>
        <w:drawing>
          <wp:inline distT="0" distB="0" distL="0" distR="0" wp14:anchorId="33140250" wp14:editId="21A97FD2">
            <wp:extent cx="4315460" cy="2698750"/>
            <wp:effectExtent l="0" t="0" r="0" b="6350"/>
            <wp:docPr id="45" name="Picture 4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A picture containing graphical user interfac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5460" cy="2698750"/>
                    </a:xfrm>
                    <a:prstGeom prst="rect">
                      <a:avLst/>
                    </a:prstGeom>
                    <a:noFill/>
                  </pic:spPr>
                </pic:pic>
              </a:graphicData>
            </a:graphic>
          </wp:inline>
        </w:drawing>
      </w:r>
    </w:p>
    <w:p w14:paraId="5046C512" w14:textId="77777777" w:rsidR="00682F0E" w:rsidRDefault="00682F0E" w:rsidP="00682F0E">
      <w:pPr>
        <w:pStyle w:val="maintext"/>
        <w:rPr>
          <w:sz w:val="22"/>
          <w:szCs w:val="22"/>
        </w:rPr>
      </w:pPr>
    </w:p>
    <w:p w14:paraId="5B0F72C9" w14:textId="77777777" w:rsidR="00682F0E" w:rsidRDefault="00682F0E" w:rsidP="00223ED0">
      <w:pPr>
        <w:pStyle w:val="maintext"/>
        <w:rPr>
          <w:sz w:val="22"/>
          <w:szCs w:val="22"/>
        </w:rPr>
      </w:pPr>
    </w:p>
    <w:p w14:paraId="18ECE6E1" w14:textId="12300A48" w:rsidR="0092006E" w:rsidRDefault="00223ED0" w:rsidP="00223ED0">
      <w:pPr>
        <w:pStyle w:val="maintext"/>
        <w:rPr>
          <w:sz w:val="22"/>
          <w:szCs w:val="22"/>
        </w:rPr>
      </w:pPr>
      <w:r w:rsidRPr="00223ED0">
        <w:rPr>
          <w:sz w:val="22"/>
          <w:szCs w:val="22"/>
        </w:rPr>
        <w:t xml:space="preserve">In addition to the DL Tx beam obtained at the </w:t>
      </w:r>
      <w:proofErr w:type="spellStart"/>
      <w:r w:rsidRPr="00223ED0">
        <w:rPr>
          <w:sz w:val="22"/>
          <w:szCs w:val="22"/>
        </w:rPr>
        <w:t>gNB</w:t>
      </w:r>
      <w:proofErr w:type="spellEnd"/>
      <w:r w:rsidRPr="00223ED0">
        <w:rPr>
          <w:sz w:val="22"/>
          <w:szCs w:val="22"/>
        </w:rPr>
        <w:t xml:space="preserve"> based on the detected RACH preamble resource and used </w:t>
      </w:r>
    </w:p>
    <w:p w14:paraId="460FA341" w14:textId="1AE1D352" w:rsidR="00223ED0" w:rsidRDefault="00223ED0" w:rsidP="00223ED0">
      <w:pPr>
        <w:pStyle w:val="maintext"/>
        <w:rPr>
          <w:sz w:val="22"/>
          <w:szCs w:val="22"/>
        </w:rPr>
      </w:pPr>
      <w:r w:rsidRPr="00223ED0">
        <w:rPr>
          <w:sz w:val="22"/>
          <w:szCs w:val="22"/>
        </w:rPr>
        <w:t xml:space="preserve">for DL Tx beam in msg. 2, and msg. 4 of the RACH procedure, the UE can indicate the beam ID(s) of alternative DL Tx beams that can be used for transmission at the </w:t>
      </w:r>
      <w:proofErr w:type="spellStart"/>
      <w:r w:rsidRPr="00223ED0">
        <w:rPr>
          <w:sz w:val="22"/>
          <w:szCs w:val="22"/>
        </w:rPr>
        <w:t>gNB</w:t>
      </w:r>
      <w:proofErr w:type="spellEnd"/>
      <w:r w:rsidRPr="00223ED0">
        <w:rPr>
          <w:sz w:val="22"/>
          <w:szCs w:val="22"/>
        </w:rPr>
        <w:t xml:space="preserve"> in msg. 3 payload. The alternative DL Tx beam(s) are measured at the UE using SS-</w:t>
      </w:r>
      <w:r w:rsidR="005B3F3E" w:rsidRPr="00223ED0">
        <w:rPr>
          <w:sz w:val="22"/>
          <w:szCs w:val="22"/>
        </w:rPr>
        <w:t>RSRP and</w:t>
      </w:r>
      <w:r w:rsidRPr="00223ED0">
        <w:rPr>
          <w:sz w:val="22"/>
          <w:szCs w:val="22"/>
        </w:rPr>
        <w:t xml:space="preserve"> are determined </w:t>
      </w:r>
      <w:r>
        <w:rPr>
          <w:sz w:val="22"/>
          <w:szCs w:val="22"/>
        </w:rPr>
        <w:t xml:space="preserve">at the UE </w:t>
      </w:r>
      <w:r w:rsidRPr="00223ED0">
        <w:rPr>
          <w:sz w:val="22"/>
          <w:szCs w:val="22"/>
        </w:rPr>
        <w:t xml:space="preserve">to be good candidate DL Tx beams. </w:t>
      </w:r>
      <w:r>
        <w:rPr>
          <w:sz w:val="22"/>
          <w:szCs w:val="22"/>
        </w:rPr>
        <w:t xml:space="preserve">This is </w:t>
      </w:r>
      <w:r>
        <w:rPr>
          <w:sz w:val="22"/>
          <w:szCs w:val="22"/>
        </w:rPr>
        <w:lastRenderedPageBreak/>
        <w:t xml:space="preserve">further illustrated in Figure 1 whereas SS-3 is identified for transmission for msg. 2 and indicated using the PRACH preamble/resource, and SS-2 is further measured at the UE using SS-RSRP to be a good </w:t>
      </w:r>
      <w:r w:rsidR="005B3F3E">
        <w:rPr>
          <w:sz w:val="22"/>
          <w:szCs w:val="22"/>
        </w:rPr>
        <w:t xml:space="preserve">alternative </w:t>
      </w:r>
      <w:r>
        <w:rPr>
          <w:sz w:val="22"/>
          <w:szCs w:val="22"/>
        </w:rPr>
        <w:t xml:space="preserve">candidate for DL Tx beam. </w:t>
      </w:r>
      <w:r w:rsidR="005B3F3E">
        <w:rPr>
          <w:sz w:val="22"/>
          <w:szCs w:val="22"/>
        </w:rPr>
        <w:t>SS-</w:t>
      </w:r>
      <w:r w:rsidR="009F08AE">
        <w:rPr>
          <w:sz w:val="22"/>
          <w:szCs w:val="22"/>
        </w:rPr>
        <w:t>2</w:t>
      </w:r>
      <w:r w:rsidR="005B3F3E">
        <w:rPr>
          <w:sz w:val="22"/>
          <w:szCs w:val="22"/>
        </w:rPr>
        <w:t xml:space="preserve"> is then explicitly indicated in msg. 3 as an alternative beam to be used for subsequent channels. </w:t>
      </w:r>
    </w:p>
    <w:p w14:paraId="40BDB04F" w14:textId="00FDECE5" w:rsidR="00682F0E" w:rsidRPr="00682F0E" w:rsidRDefault="005B3F3E" w:rsidP="005B3F3E">
      <w:pPr>
        <w:pStyle w:val="maintext"/>
        <w:rPr>
          <w:rFonts w:eastAsia="SimSun" w:cs="Arial"/>
          <w:b/>
          <w:sz w:val="22"/>
          <w:szCs w:val="22"/>
        </w:rPr>
      </w:pPr>
      <w:r w:rsidRPr="00223ED0">
        <w:rPr>
          <w:rFonts w:eastAsia="SimSun" w:cs="Arial"/>
          <w:b/>
          <w:sz w:val="22"/>
          <w:szCs w:val="22"/>
        </w:rPr>
        <w:t xml:space="preserve">Proposal </w:t>
      </w:r>
      <w:r w:rsidR="00FC18D0">
        <w:rPr>
          <w:rFonts w:eastAsia="SimSun" w:cs="Arial"/>
          <w:b/>
          <w:sz w:val="22"/>
          <w:szCs w:val="22"/>
        </w:rPr>
        <w:t>7</w:t>
      </w:r>
      <w:r w:rsidRPr="00223ED0">
        <w:rPr>
          <w:rFonts w:eastAsia="SimSun" w:cs="Arial"/>
          <w:b/>
          <w:sz w:val="22"/>
          <w:szCs w:val="22"/>
        </w:rPr>
        <w:t xml:space="preserve">: </w:t>
      </w:r>
      <w:r>
        <w:rPr>
          <w:rFonts w:eastAsia="SimSun" w:cs="Arial"/>
          <w:b/>
          <w:sz w:val="22"/>
          <w:szCs w:val="22"/>
        </w:rPr>
        <w:t>Study</w:t>
      </w:r>
      <w:r w:rsidRPr="00223ED0">
        <w:rPr>
          <w:rFonts w:eastAsia="SimSun" w:cs="Arial"/>
          <w:b/>
          <w:sz w:val="22"/>
          <w:szCs w:val="22"/>
        </w:rPr>
        <w:t xml:space="preserve"> </w:t>
      </w:r>
      <w:r>
        <w:rPr>
          <w:rFonts w:eastAsia="SimSun" w:cs="Arial"/>
          <w:b/>
          <w:sz w:val="22"/>
          <w:szCs w:val="22"/>
        </w:rPr>
        <w:t>beam adjustment reporting</w:t>
      </w:r>
      <w:r w:rsidRPr="00223ED0">
        <w:rPr>
          <w:rFonts w:eastAsia="SimSun" w:cs="Arial"/>
          <w:b/>
          <w:sz w:val="22"/>
          <w:szCs w:val="22"/>
        </w:rPr>
        <w:t xml:space="preserve"> in msg. 3</w:t>
      </w:r>
      <w:r w:rsidR="00553FC0">
        <w:rPr>
          <w:rFonts w:eastAsia="SimSun" w:cs="Arial"/>
          <w:b/>
          <w:sz w:val="22"/>
          <w:szCs w:val="22"/>
        </w:rPr>
        <w:t xml:space="preserve"> of the RACH procedure</w:t>
      </w:r>
    </w:p>
    <w:p w14:paraId="6B15C03C" w14:textId="12A4AE14" w:rsidR="00AC6EB3" w:rsidRDefault="005B3F3E" w:rsidP="00682F0E">
      <w:pPr>
        <w:pStyle w:val="maintext"/>
        <w:rPr>
          <w:rFonts w:eastAsia="SimSun" w:cs="Arial"/>
          <w:bCs/>
          <w:sz w:val="22"/>
          <w:szCs w:val="22"/>
        </w:rPr>
      </w:pPr>
      <w:r w:rsidRPr="005B3F3E">
        <w:rPr>
          <w:rFonts w:eastAsia="SimSun" w:cs="Arial"/>
          <w:bCs/>
          <w:sz w:val="22"/>
          <w:szCs w:val="22"/>
        </w:rPr>
        <w:t xml:space="preserve">When the alternative DL Tx beam(s) are indicated in msg. 3, the </w:t>
      </w:r>
      <w:proofErr w:type="spellStart"/>
      <w:r w:rsidRPr="005B3F3E">
        <w:rPr>
          <w:rFonts w:eastAsia="SimSun" w:cs="Arial"/>
          <w:bCs/>
          <w:sz w:val="22"/>
          <w:szCs w:val="22"/>
        </w:rPr>
        <w:t>gNB</w:t>
      </w:r>
      <w:proofErr w:type="spellEnd"/>
      <w:r w:rsidRPr="005B3F3E">
        <w:rPr>
          <w:rFonts w:eastAsia="SimSun" w:cs="Arial"/>
          <w:bCs/>
          <w:sz w:val="22"/>
          <w:szCs w:val="22"/>
        </w:rPr>
        <w:t xml:space="preserve"> can make use of the beam adjustment information for DL transmission to the UE. When msg. 3 is successfully decoded, the </w:t>
      </w:r>
      <w:proofErr w:type="spellStart"/>
      <w:r w:rsidRPr="005B3F3E">
        <w:rPr>
          <w:rFonts w:eastAsia="SimSun" w:cs="Arial"/>
          <w:bCs/>
          <w:sz w:val="22"/>
          <w:szCs w:val="22"/>
        </w:rPr>
        <w:t>gNB</w:t>
      </w:r>
      <w:proofErr w:type="spellEnd"/>
      <w:r w:rsidRPr="005B3F3E">
        <w:rPr>
          <w:rFonts w:eastAsia="SimSun" w:cs="Arial"/>
          <w:bCs/>
          <w:sz w:val="22"/>
          <w:szCs w:val="22"/>
        </w:rPr>
        <w:t xml:space="preserve"> has access to at least two beams to use for DL channels. The </w:t>
      </w:r>
      <w:proofErr w:type="spellStart"/>
      <w:r w:rsidRPr="005B3F3E">
        <w:rPr>
          <w:rFonts w:eastAsia="SimSun" w:cs="Arial"/>
          <w:bCs/>
          <w:sz w:val="22"/>
          <w:szCs w:val="22"/>
        </w:rPr>
        <w:t>gNB</w:t>
      </w:r>
      <w:proofErr w:type="spellEnd"/>
      <w:r w:rsidRPr="005B3F3E">
        <w:rPr>
          <w:rFonts w:eastAsia="SimSun" w:cs="Arial"/>
          <w:bCs/>
          <w:sz w:val="22"/>
          <w:szCs w:val="22"/>
        </w:rPr>
        <w:t xml:space="preserve"> can then either choose the original beam or the new beam </w:t>
      </w:r>
      <w:r w:rsidR="00D52AFA" w:rsidRPr="005B3F3E">
        <w:rPr>
          <w:rFonts w:eastAsia="SimSun" w:cs="Arial"/>
          <w:bCs/>
          <w:sz w:val="22"/>
          <w:szCs w:val="22"/>
        </w:rPr>
        <w:t>for transmission</w:t>
      </w:r>
      <w:r w:rsidRPr="005B3F3E">
        <w:rPr>
          <w:rFonts w:eastAsia="SimSun" w:cs="Arial"/>
          <w:bCs/>
          <w:sz w:val="22"/>
          <w:szCs w:val="22"/>
        </w:rPr>
        <w:t xml:space="preserve"> of msg. </w:t>
      </w:r>
      <w:r w:rsidR="00D03C77" w:rsidRPr="005B3F3E">
        <w:rPr>
          <w:rFonts w:eastAsia="SimSun" w:cs="Arial"/>
          <w:bCs/>
          <w:sz w:val="22"/>
          <w:szCs w:val="22"/>
        </w:rPr>
        <w:t>4 or</w:t>
      </w:r>
      <w:r w:rsidRPr="005B3F3E">
        <w:rPr>
          <w:rFonts w:eastAsia="SimSun" w:cs="Arial"/>
          <w:bCs/>
          <w:sz w:val="22"/>
          <w:szCs w:val="22"/>
        </w:rPr>
        <w:t xml:space="preserve"> transmit the same msg. 4 on two beams. This increased diversity help improve the robustness and the coverage of </w:t>
      </w:r>
      <w:r w:rsidR="00564E6F">
        <w:rPr>
          <w:rFonts w:eastAsia="SimSun" w:cs="Arial"/>
          <w:bCs/>
          <w:sz w:val="22"/>
          <w:szCs w:val="22"/>
        </w:rPr>
        <w:t>physical channels in initial access/random access procedure</w:t>
      </w:r>
      <w:r w:rsidRPr="005B3F3E">
        <w:rPr>
          <w:rFonts w:eastAsia="SimSun" w:cs="Arial"/>
          <w:bCs/>
          <w:sz w:val="22"/>
          <w:szCs w:val="22"/>
        </w:rPr>
        <w:t xml:space="preserve">. It can further be useful </w:t>
      </w:r>
      <w:r w:rsidR="00564E6F">
        <w:rPr>
          <w:rFonts w:eastAsia="SimSun" w:cs="Arial"/>
          <w:bCs/>
          <w:sz w:val="22"/>
          <w:szCs w:val="22"/>
        </w:rPr>
        <w:t xml:space="preserve">for coverage enhancements for </w:t>
      </w:r>
      <w:r w:rsidRPr="005B3F3E">
        <w:rPr>
          <w:rFonts w:eastAsia="SimSun" w:cs="Arial"/>
          <w:bCs/>
          <w:sz w:val="22"/>
          <w:szCs w:val="22"/>
        </w:rPr>
        <w:t xml:space="preserve">subsequent connected mode </w:t>
      </w:r>
      <w:r w:rsidR="00D52AFA">
        <w:rPr>
          <w:rFonts w:eastAsia="SimSun" w:cs="Arial"/>
          <w:bCs/>
          <w:sz w:val="22"/>
          <w:szCs w:val="22"/>
        </w:rPr>
        <w:t xml:space="preserve">physical </w:t>
      </w:r>
      <w:r w:rsidRPr="005B3F3E">
        <w:rPr>
          <w:rFonts w:eastAsia="SimSun" w:cs="Arial"/>
          <w:bCs/>
          <w:sz w:val="22"/>
          <w:szCs w:val="22"/>
        </w:rPr>
        <w:t>channels</w:t>
      </w:r>
      <w:r w:rsidR="00564E6F">
        <w:rPr>
          <w:rFonts w:eastAsia="SimSun" w:cs="Arial"/>
          <w:bCs/>
          <w:sz w:val="22"/>
          <w:szCs w:val="22"/>
        </w:rPr>
        <w:t>.</w:t>
      </w:r>
      <w:r w:rsidRPr="005B3F3E">
        <w:rPr>
          <w:rFonts w:eastAsia="SimSun" w:cs="Arial"/>
          <w:bCs/>
          <w:sz w:val="22"/>
          <w:szCs w:val="22"/>
        </w:rPr>
        <w:t xml:space="preserve">  </w:t>
      </w:r>
    </w:p>
    <w:p w14:paraId="0CF9E585" w14:textId="77777777" w:rsidR="000B6E14" w:rsidRPr="00871356" w:rsidRDefault="000B6E14" w:rsidP="00B80711">
      <w:pPr>
        <w:spacing w:line="264" w:lineRule="auto"/>
        <w:ind w:firstLineChars="0" w:firstLine="0"/>
        <w:rPr>
          <w:rFonts w:ascii="Calibri" w:hAnsi="Calibri" w:cs="Calibri"/>
          <w:sz w:val="22"/>
          <w:szCs w:val="22"/>
        </w:rPr>
      </w:pPr>
      <w:r w:rsidRPr="00871356">
        <w:rPr>
          <w:rFonts w:ascii="Calibri" w:hAnsi="Calibri" w:cs="Calibri"/>
          <w:sz w:val="22"/>
          <w:szCs w:val="22"/>
        </w:rPr>
        <w:t xml:space="preserve">Whether the UE reports on an SS block index in msg. 3 can be indicated in system information (SI) and received by the UE. The system information can, for example, be included in the same SIB that contains information about random access parameters. </w:t>
      </w:r>
    </w:p>
    <w:p w14:paraId="34AB6218" w14:textId="76619840" w:rsidR="000B6E14" w:rsidRPr="00E53F67" w:rsidRDefault="000B6E14" w:rsidP="00E53F67">
      <w:pPr>
        <w:spacing w:line="264" w:lineRule="auto"/>
        <w:ind w:firstLineChars="0" w:firstLine="0"/>
        <w:rPr>
          <w:rFonts w:ascii="Calibri" w:hAnsi="Calibri" w:cs="Calibri"/>
          <w:b/>
          <w:sz w:val="22"/>
          <w:szCs w:val="22"/>
        </w:rPr>
      </w:pPr>
      <w:r w:rsidRPr="00871356">
        <w:rPr>
          <w:rFonts w:ascii="Calibri" w:hAnsi="Calibri" w:cs="Calibri"/>
          <w:b/>
          <w:sz w:val="22"/>
          <w:szCs w:val="22"/>
        </w:rPr>
        <w:t xml:space="preserve">Proposal </w:t>
      </w:r>
      <w:r w:rsidR="00FC18D0">
        <w:rPr>
          <w:rFonts w:ascii="Calibri" w:hAnsi="Calibri" w:cs="Calibri"/>
          <w:b/>
          <w:sz w:val="22"/>
          <w:szCs w:val="22"/>
        </w:rPr>
        <w:t>8</w:t>
      </w:r>
      <w:r w:rsidRPr="00871356">
        <w:rPr>
          <w:rFonts w:ascii="Calibri" w:hAnsi="Calibri" w:cs="Calibri"/>
          <w:b/>
          <w:sz w:val="22"/>
          <w:szCs w:val="22"/>
        </w:rPr>
        <w:t xml:space="preserve">: </w:t>
      </w:r>
      <w:r w:rsidR="00553FC0">
        <w:rPr>
          <w:rFonts w:ascii="Calibri" w:hAnsi="Calibri" w:cs="Calibri"/>
          <w:b/>
          <w:sz w:val="22"/>
          <w:szCs w:val="22"/>
        </w:rPr>
        <w:t>The presence of SS block indices in msg. 3 can be indicated to the UE</w:t>
      </w:r>
    </w:p>
    <w:p w14:paraId="6A5580A0" w14:textId="7149848B"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2C6EBAD7" w14:textId="34D30F08" w:rsidR="00682F0E" w:rsidRDefault="00682F0E" w:rsidP="00682F0E">
      <w:pPr>
        <w:ind w:firstLine="220"/>
        <w:rPr>
          <w:rFonts w:ascii="Calibri" w:hAnsi="Calibri" w:cs="Calibri"/>
          <w:sz w:val="22"/>
          <w:szCs w:val="22"/>
        </w:rPr>
      </w:pPr>
      <w:r w:rsidRPr="00682F0E">
        <w:rPr>
          <w:rFonts w:ascii="Calibri" w:hAnsi="Calibri" w:cs="Calibri"/>
          <w:sz w:val="22"/>
          <w:szCs w:val="22"/>
        </w:rPr>
        <w:t xml:space="preserve">In this </w:t>
      </w:r>
      <w:r>
        <w:rPr>
          <w:rFonts w:ascii="Calibri" w:hAnsi="Calibri" w:cs="Calibri"/>
          <w:sz w:val="22"/>
          <w:szCs w:val="22"/>
        </w:rPr>
        <w:t xml:space="preserve">contribution, we </w:t>
      </w:r>
      <w:r w:rsidR="00553FC0">
        <w:rPr>
          <w:rFonts w:ascii="Calibri" w:hAnsi="Calibri" w:cs="Calibri"/>
          <w:sz w:val="22"/>
          <w:szCs w:val="22"/>
        </w:rPr>
        <w:t xml:space="preserve">discussed enhancements on beam management. </w:t>
      </w:r>
    </w:p>
    <w:p w14:paraId="0B37781B" w14:textId="1C678638" w:rsidR="00682F0E" w:rsidRDefault="00682F0E" w:rsidP="00682F0E">
      <w:pPr>
        <w:ind w:firstLine="220"/>
        <w:rPr>
          <w:rFonts w:ascii="Calibri" w:hAnsi="Calibri" w:cs="Calibri"/>
          <w:sz w:val="22"/>
          <w:szCs w:val="22"/>
        </w:rPr>
      </w:pPr>
      <w:r>
        <w:rPr>
          <w:rFonts w:ascii="Calibri" w:hAnsi="Calibri" w:cs="Calibri"/>
          <w:sz w:val="22"/>
          <w:szCs w:val="22"/>
        </w:rPr>
        <w:t xml:space="preserve">We made the following </w:t>
      </w:r>
      <w:r w:rsidR="00553FC0">
        <w:rPr>
          <w:rFonts w:ascii="Calibri" w:hAnsi="Calibri" w:cs="Calibri"/>
          <w:sz w:val="22"/>
          <w:szCs w:val="22"/>
        </w:rPr>
        <w:t>proposals.</w:t>
      </w:r>
    </w:p>
    <w:p w14:paraId="2524C47F" w14:textId="77777777" w:rsidR="00D03C77" w:rsidRPr="00D03C77" w:rsidRDefault="00553FC0" w:rsidP="00D03C77">
      <w:pPr>
        <w:snapToGrid w:val="0"/>
        <w:spacing w:before="0" w:line="264" w:lineRule="auto"/>
        <w:ind w:firstLineChars="0"/>
        <w:contextualSpacing/>
        <w:jc w:val="left"/>
        <w:rPr>
          <w:rFonts w:ascii="Calibri" w:hAnsi="Calibri" w:cs="Calibri"/>
          <w:b/>
          <w:bCs/>
          <w:sz w:val="22"/>
          <w:szCs w:val="22"/>
        </w:rPr>
      </w:pPr>
      <w:r w:rsidRPr="00D03C77">
        <w:rPr>
          <w:rFonts w:ascii="Calibri" w:hAnsi="Calibri" w:cs="Calibri"/>
          <w:b/>
          <w:bCs/>
          <w:sz w:val="22"/>
          <w:szCs w:val="22"/>
        </w:rPr>
        <w:t>Proposal 1: The common QCL information can indicate the PDSCH default beam(s).</w:t>
      </w:r>
    </w:p>
    <w:p w14:paraId="752DDA63" w14:textId="7B2003F8" w:rsidR="00D03C77" w:rsidRPr="00D03C77" w:rsidRDefault="00553FC0" w:rsidP="00D03C77">
      <w:pPr>
        <w:snapToGrid w:val="0"/>
        <w:spacing w:before="0" w:line="264" w:lineRule="auto"/>
        <w:ind w:firstLineChars="0"/>
        <w:contextualSpacing/>
        <w:jc w:val="left"/>
        <w:rPr>
          <w:rFonts w:ascii="Calibri" w:hAnsi="Calibri" w:cs="Calibri"/>
          <w:b/>
          <w:bCs/>
          <w:sz w:val="22"/>
          <w:szCs w:val="22"/>
        </w:rPr>
      </w:pPr>
      <w:r w:rsidRPr="00D03C77">
        <w:rPr>
          <w:rFonts w:ascii="Calibri" w:hAnsi="Calibri" w:cs="Calibri"/>
          <w:b/>
          <w:bCs/>
          <w:sz w:val="22"/>
          <w:szCs w:val="22"/>
        </w:rPr>
        <w:t>Proposal 2: Extend common QCL information to apply for multi-TRP scenarios</w:t>
      </w:r>
      <w:r w:rsidR="00D03C77" w:rsidRPr="00D03C77">
        <w:rPr>
          <w:rFonts w:ascii="Calibri" w:hAnsi="Calibri" w:cs="Calibri"/>
          <w:b/>
          <w:bCs/>
          <w:sz w:val="22"/>
          <w:szCs w:val="22"/>
        </w:rPr>
        <w:t>.</w:t>
      </w:r>
    </w:p>
    <w:p w14:paraId="2A07E462" w14:textId="77777777" w:rsidR="00D03C77" w:rsidRPr="00D03C77" w:rsidRDefault="00553FC0" w:rsidP="00D03C77">
      <w:pPr>
        <w:snapToGrid w:val="0"/>
        <w:spacing w:before="0" w:line="264" w:lineRule="auto"/>
        <w:ind w:firstLineChars="0"/>
        <w:contextualSpacing/>
        <w:jc w:val="left"/>
        <w:rPr>
          <w:rFonts w:ascii="Calibri" w:hAnsi="Calibri" w:cs="Calibri"/>
          <w:b/>
          <w:bCs/>
          <w:sz w:val="22"/>
          <w:szCs w:val="22"/>
        </w:rPr>
      </w:pPr>
      <w:r w:rsidRPr="00D03C77">
        <w:rPr>
          <w:rFonts w:ascii="Calibri" w:hAnsi="Calibri" w:cs="Calibri"/>
          <w:b/>
          <w:bCs/>
          <w:sz w:val="22"/>
          <w:szCs w:val="22"/>
        </w:rPr>
        <w:t xml:space="preserve">Proposal 3: Utilize two separate TCI states, one for DL and one for UL for the case of separate </w:t>
      </w:r>
      <w:r w:rsidR="00E53F67" w:rsidRPr="00D03C77">
        <w:rPr>
          <w:rFonts w:ascii="Calibri" w:hAnsi="Calibri" w:cs="Calibri"/>
          <w:b/>
          <w:bCs/>
          <w:sz w:val="22"/>
          <w:szCs w:val="22"/>
        </w:rPr>
        <w:t>beam indication</w:t>
      </w:r>
      <w:r w:rsidRPr="00D03C77">
        <w:rPr>
          <w:rFonts w:ascii="Calibri" w:hAnsi="Calibri" w:cs="Calibri"/>
          <w:b/>
          <w:bCs/>
          <w:sz w:val="22"/>
          <w:szCs w:val="22"/>
        </w:rPr>
        <w:t xml:space="preserve"> for UL and DL</w:t>
      </w:r>
      <w:r w:rsidR="00D03C77" w:rsidRPr="00D03C77">
        <w:rPr>
          <w:rFonts w:ascii="Calibri" w:hAnsi="Calibri" w:cs="Calibri"/>
          <w:b/>
          <w:bCs/>
          <w:sz w:val="22"/>
          <w:szCs w:val="22"/>
        </w:rPr>
        <w:t>.</w:t>
      </w:r>
    </w:p>
    <w:p w14:paraId="50F2BD7A" w14:textId="77777777" w:rsidR="00D03C77" w:rsidRPr="00D03C77" w:rsidRDefault="00553FC0" w:rsidP="00D03C77">
      <w:pPr>
        <w:snapToGrid w:val="0"/>
        <w:spacing w:before="0" w:line="264" w:lineRule="auto"/>
        <w:ind w:firstLineChars="0"/>
        <w:contextualSpacing/>
        <w:jc w:val="left"/>
        <w:rPr>
          <w:rFonts w:ascii="Calibri" w:hAnsi="Calibri" w:cs="Calibri"/>
          <w:b/>
          <w:bCs/>
          <w:sz w:val="22"/>
          <w:szCs w:val="22"/>
        </w:rPr>
      </w:pPr>
      <w:r w:rsidRPr="00D03C77">
        <w:rPr>
          <w:rFonts w:ascii="Calibri" w:hAnsi="Calibri" w:cs="Calibri"/>
          <w:b/>
          <w:bCs/>
          <w:sz w:val="22"/>
          <w:szCs w:val="22"/>
        </w:rPr>
        <w:t>Proposal 4: Once the joint TCI state or UL TCI state are enabled, the spatial relation info is not needed for UL beam indication.</w:t>
      </w:r>
      <w:r w:rsidR="00D03C77" w:rsidRPr="00D03C77">
        <w:rPr>
          <w:rFonts w:ascii="Calibri" w:hAnsi="Calibri" w:cs="Calibri"/>
          <w:b/>
          <w:bCs/>
          <w:sz w:val="22"/>
          <w:szCs w:val="22"/>
        </w:rPr>
        <w:t xml:space="preserve"> </w:t>
      </w:r>
    </w:p>
    <w:p w14:paraId="082339BD" w14:textId="4A6ACADF" w:rsidR="00D03C77" w:rsidRPr="00D03C77" w:rsidRDefault="00BF6299" w:rsidP="00D03C77">
      <w:pPr>
        <w:snapToGrid w:val="0"/>
        <w:spacing w:before="0" w:line="264" w:lineRule="auto"/>
        <w:ind w:firstLineChars="0"/>
        <w:contextualSpacing/>
        <w:jc w:val="left"/>
        <w:rPr>
          <w:rFonts w:ascii="Calibri" w:hAnsi="Calibri" w:cs="Calibri"/>
          <w:b/>
          <w:bCs/>
          <w:sz w:val="22"/>
          <w:szCs w:val="22"/>
        </w:rPr>
      </w:pPr>
      <w:r w:rsidRPr="00D03C77">
        <w:rPr>
          <w:rFonts w:ascii="Calibri" w:hAnsi="Calibri" w:cs="Calibri"/>
          <w:b/>
          <w:bCs/>
          <w:sz w:val="22"/>
          <w:szCs w:val="22"/>
          <w:lang w:val="en-GB" w:eastAsia="en-US"/>
        </w:rPr>
        <w:t>Proposal 5: DCI based TCI state update should be supported</w:t>
      </w:r>
      <w:r w:rsidR="00D03C77" w:rsidRPr="00D03C77">
        <w:rPr>
          <w:rFonts w:ascii="Calibri" w:hAnsi="Calibri" w:cs="Calibri"/>
          <w:b/>
          <w:bCs/>
          <w:sz w:val="22"/>
          <w:szCs w:val="22"/>
          <w:lang w:val="en-GB" w:eastAsia="en-US"/>
        </w:rPr>
        <w:t>.</w:t>
      </w:r>
      <w:r w:rsidRPr="00D03C77">
        <w:rPr>
          <w:rFonts w:ascii="Calibri" w:hAnsi="Calibri" w:cs="Calibri"/>
          <w:b/>
          <w:bCs/>
          <w:sz w:val="22"/>
          <w:szCs w:val="22"/>
          <w:lang w:val="en-GB" w:eastAsia="en-US"/>
        </w:rPr>
        <w:t xml:space="preserve"> </w:t>
      </w:r>
    </w:p>
    <w:p w14:paraId="0A8C34A7" w14:textId="77777777" w:rsidR="00D03C77" w:rsidRPr="00D03C77" w:rsidRDefault="00553FC0" w:rsidP="00D03C77">
      <w:pPr>
        <w:snapToGrid w:val="0"/>
        <w:spacing w:before="0" w:line="264" w:lineRule="auto"/>
        <w:ind w:firstLineChars="0"/>
        <w:contextualSpacing/>
        <w:jc w:val="left"/>
        <w:rPr>
          <w:rFonts w:ascii="Calibri" w:hAnsi="Calibri" w:cs="Calibri"/>
          <w:b/>
          <w:bCs/>
          <w:sz w:val="22"/>
          <w:szCs w:val="22"/>
          <w:lang w:val="en-GB"/>
        </w:rPr>
      </w:pPr>
      <w:r w:rsidRPr="00D03C77">
        <w:rPr>
          <w:rFonts w:ascii="Calibri" w:hAnsi="Calibri" w:cs="Calibri"/>
          <w:b/>
          <w:bCs/>
          <w:sz w:val="22"/>
          <w:szCs w:val="22"/>
          <w:lang w:val="en-GB"/>
        </w:rPr>
        <w:t>Proposal 6: Explicit panel identifier is not needed for fast panel selection</w:t>
      </w:r>
      <w:r w:rsidR="00D03C77" w:rsidRPr="00D03C77">
        <w:rPr>
          <w:rFonts w:ascii="Calibri" w:hAnsi="Calibri" w:cs="Calibri"/>
          <w:b/>
          <w:bCs/>
          <w:sz w:val="22"/>
          <w:szCs w:val="22"/>
          <w:lang w:val="en-GB"/>
        </w:rPr>
        <w:t xml:space="preserve">. </w:t>
      </w:r>
    </w:p>
    <w:p w14:paraId="17B5E6E9" w14:textId="77777777" w:rsidR="00D03C77" w:rsidRPr="00D03C77" w:rsidRDefault="00553FC0" w:rsidP="00D03C77">
      <w:pPr>
        <w:snapToGrid w:val="0"/>
        <w:spacing w:before="0" w:line="264" w:lineRule="auto"/>
        <w:ind w:firstLineChars="0"/>
        <w:contextualSpacing/>
        <w:jc w:val="left"/>
        <w:rPr>
          <w:rFonts w:ascii="Calibri" w:hAnsi="Calibri" w:cs="Calibri"/>
          <w:b/>
          <w:bCs/>
          <w:sz w:val="22"/>
          <w:szCs w:val="22"/>
        </w:rPr>
      </w:pPr>
      <w:r w:rsidRPr="00D03C77">
        <w:rPr>
          <w:rFonts w:ascii="Calibri" w:eastAsia="SimSun" w:hAnsi="Calibri" w:cs="Calibri"/>
          <w:b/>
          <w:sz w:val="22"/>
          <w:szCs w:val="22"/>
        </w:rPr>
        <w:t>Proposal 7: Study beam adjustment reporting in msg. 3 of the RACH procedure</w:t>
      </w:r>
      <w:r w:rsidR="00D03C77" w:rsidRPr="00D03C77">
        <w:rPr>
          <w:rFonts w:ascii="Calibri" w:hAnsi="Calibri" w:cs="Calibri"/>
          <w:b/>
          <w:bCs/>
          <w:sz w:val="22"/>
          <w:szCs w:val="22"/>
        </w:rPr>
        <w:t>.</w:t>
      </w:r>
    </w:p>
    <w:p w14:paraId="304CCB43" w14:textId="5B8EFE12" w:rsidR="00553FC0" w:rsidRPr="00D03C77" w:rsidRDefault="00553FC0" w:rsidP="00D03C77">
      <w:pPr>
        <w:snapToGrid w:val="0"/>
        <w:spacing w:before="0" w:line="264" w:lineRule="auto"/>
        <w:ind w:firstLineChars="0"/>
        <w:contextualSpacing/>
        <w:jc w:val="left"/>
        <w:rPr>
          <w:rFonts w:ascii="Calibri" w:hAnsi="Calibri" w:cs="Calibri"/>
          <w:b/>
          <w:bCs/>
          <w:sz w:val="22"/>
          <w:szCs w:val="22"/>
        </w:rPr>
      </w:pPr>
      <w:r w:rsidRPr="00D03C77">
        <w:rPr>
          <w:rFonts w:ascii="Calibri" w:hAnsi="Calibri" w:cs="Calibri"/>
          <w:b/>
          <w:sz w:val="22"/>
          <w:szCs w:val="22"/>
        </w:rPr>
        <w:t>Proposal 8: The presence of SS block indices in msg. 3 can be indicated to the UE</w:t>
      </w:r>
    </w:p>
    <w:p w14:paraId="0EAC8264" w14:textId="77777777" w:rsidR="00682F0E" w:rsidRPr="00682F0E" w:rsidRDefault="00682F0E" w:rsidP="00682F0E"/>
    <w:p w14:paraId="0563EE83" w14:textId="77777777" w:rsidR="00BA1D3B" w:rsidRDefault="00BA1D3B" w:rsidP="00682F0E">
      <w:pPr>
        <w:pStyle w:val="Heading1"/>
        <w:rPr>
          <w:lang w:val="en-US" w:eastAsia="ko-KR"/>
        </w:rPr>
      </w:pPr>
      <w:r w:rsidRPr="00F40EEC">
        <w:rPr>
          <w:rFonts w:hint="eastAsia"/>
          <w:lang w:val="en-US" w:eastAsia="ko-KR"/>
        </w:rPr>
        <w:t>References</w:t>
      </w:r>
    </w:p>
    <w:p w14:paraId="76117D6F" w14:textId="2F1AFE73" w:rsidR="00E53F67" w:rsidRPr="00E53F67" w:rsidRDefault="00E53F67" w:rsidP="00E53F67">
      <w:pPr>
        <w:ind w:firstLineChars="0" w:firstLine="0"/>
        <w:rPr>
          <w:rFonts w:ascii="Calibri" w:hAnsi="Calibri" w:cs="Calibri"/>
          <w:lang w:val="en-GB"/>
        </w:rPr>
      </w:pPr>
      <w:r>
        <w:rPr>
          <w:rFonts w:ascii="Calibri" w:hAnsi="Calibri" w:cs="Calibri"/>
          <w:lang w:val="en-GB"/>
        </w:rPr>
        <w:t xml:space="preserve">  </w:t>
      </w:r>
      <w:r w:rsidRPr="00E53F67">
        <w:rPr>
          <w:rFonts w:ascii="Calibri" w:hAnsi="Calibri" w:cs="Calibri"/>
          <w:lang w:val="en-GB"/>
        </w:rPr>
        <w:t xml:space="preserve">[1] RP-193133 New WID: Further Enhancements on MIMO for NR, 3GPP TSG RAN Meeting #86, </w:t>
      </w:r>
      <w:proofErr w:type="spellStart"/>
      <w:r w:rsidRPr="00E53F67">
        <w:rPr>
          <w:rFonts w:ascii="Calibri" w:hAnsi="Calibri" w:cs="Calibri"/>
          <w:lang w:val="en-GB"/>
        </w:rPr>
        <w:t>Sitges</w:t>
      </w:r>
      <w:proofErr w:type="spellEnd"/>
      <w:r w:rsidRPr="00E53F67">
        <w:rPr>
          <w:rFonts w:ascii="Calibri" w:hAnsi="Calibri" w:cs="Calibri"/>
          <w:lang w:val="en-GB"/>
        </w:rPr>
        <w:t xml:space="preserve">, Spain, Dec. 2019   </w:t>
      </w:r>
    </w:p>
    <w:p w14:paraId="017BD647" w14:textId="307F15F7" w:rsidR="002A49FA" w:rsidRPr="00E53F67" w:rsidRDefault="00E53F67" w:rsidP="00E53F67">
      <w:pPr>
        <w:spacing w:before="0" w:after="0" w:line="240" w:lineRule="auto"/>
        <w:ind w:firstLineChars="0" w:firstLine="0"/>
        <w:jc w:val="left"/>
        <w:rPr>
          <w:rFonts w:ascii="Calibri" w:hAnsi="Calibri" w:cs="Calibri"/>
        </w:rPr>
      </w:pPr>
      <w:r>
        <w:rPr>
          <w:rFonts w:ascii="Calibri" w:hAnsi="Calibri" w:cs="Calibri"/>
        </w:rPr>
        <w:t xml:space="preserve">  </w:t>
      </w:r>
      <w:r w:rsidR="00682F0E" w:rsidRPr="00E53F67">
        <w:rPr>
          <w:rFonts w:ascii="Calibri" w:hAnsi="Calibri" w:cs="Calibri"/>
        </w:rPr>
        <w:t>[</w:t>
      </w:r>
      <w:r w:rsidRPr="00E53F67">
        <w:rPr>
          <w:rFonts w:ascii="Calibri" w:hAnsi="Calibri" w:cs="Calibri"/>
        </w:rPr>
        <w:t>2</w:t>
      </w:r>
      <w:r w:rsidR="00682F0E" w:rsidRPr="00E53F67">
        <w:rPr>
          <w:rFonts w:ascii="Calibri" w:hAnsi="Calibri" w:cs="Calibri"/>
        </w:rPr>
        <w:t>] Chairman’s notes, RAN1#102e, e-meeting, August 17</w:t>
      </w:r>
      <w:r w:rsidR="00682F0E" w:rsidRPr="00E53F67">
        <w:rPr>
          <w:rFonts w:ascii="Calibri" w:hAnsi="Calibri" w:cs="Calibri"/>
          <w:vertAlign w:val="superscript"/>
        </w:rPr>
        <w:t>th</w:t>
      </w:r>
      <w:r w:rsidR="00682F0E" w:rsidRPr="00E53F67">
        <w:rPr>
          <w:rFonts w:ascii="Calibri" w:hAnsi="Calibri" w:cs="Calibri"/>
        </w:rPr>
        <w:t>-28</w:t>
      </w:r>
      <w:r w:rsidR="00682F0E" w:rsidRPr="00E53F67">
        <w:rPr>
          <w:rFonts w:ascii="Calibri" w:hAnsi="Calibri" w:cs="Calibri"/>
          <w:vertAlign w:val="superscript"/>
        </w:rPr>
        <w:t>th</w:t>
      </w:r>
      <w:r w:rsidR="00682F0E" w:rsidRPr="00E53F67">
        <w:rPr>
          <w:rFonts w:ascii="Calibri" w:hAnsi="Calibri" w:cs="Calibri"/>
        </w:rPr>
        <w:t xml:space="preserve">, 2020 </w:t>
      </w:r>
    </w:p>
    <w:p w14:paraId="60268768" w14:textId="412588A2" w:rsidR="00E5623F" w:rsidRPr="002A49FA" w:rsidRDefault="002A49FA" w:rsidP="00553FC0">
      <w:pPr>
        <w:tabs>
          <w:tab w:val="left" w:pos="8987"/>
        </w:tabs>
        <w:ind w:firstLineChars="0" w:firstLine="0"/>
      </w:pPr>
      <w:r>
        <w:tab/>
      </w:r>
    </w:p>
    <w:sectPr w:rsidR="00E5623F" w:rsidRPr="002A49FA"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A70B4" w14:textId="77777777" w:rsidR="00775080" w:rsidRDefault="00775080" w:rsidP="007378B8">
      <w:r>
        <w:separator/>
      </w:r>
    </w:p>
  </w:endnote>
  <w:endnote w:type="continuationSeparator" w:id="0">
    <w:p w14:paraId="77DA51B1" w14:textId="77777777" w:rsidR="00775080" w:rsidRDefault="00775080"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AA477" w14:textId="77777777" w:rsidR="00775080" w:rsidRDefault="00775080" w:rsidP="007378B8">
      <w:r>
        <w:separator/>
      </w:r>
    </w:p>
  </w:footnote>
  <w:footnote w:type="continuationSeparator" w:id="0">
    <w:p w14:paraId="490B9EFA" w14:textId="77777777" w:rsidR="00775080" w:rsidRDefault="00775080"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8D32AC9"/>
    <w:multiLevelType w:val="hybridMultilevel"/>
    <w:tmpl w:val="34286A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3"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C0A3E8F"/>
    <w:multiLevelType w:val="hybridMultilevel"/>
    <w:tmpl w:val="226AA55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2B3F28"/>
    <w:multiLevelType w:val="hybridMultilevel"/>
    <w:tmpl w:val="3B6AC85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5D071DB"/>
    <w:multiLevelType w:val="hybridMultilevel"/>
    <w:tmpl w:val="A5A8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6"/>
  </w:num>
  <w:num w:numId="3">
    <w:abstractNumId w:val="16"/>
  </w:num>
  <w:num w:numId="4">
    <w:abstractNumId w:val="22"/>
  </w:num>
  <w:num w:numId="5">
    <w:abstractNumId w:val="2"/>
  </w:num>
  <w:num w:numId="6">
    <w:abstractNumId w:val="9"/>
  </w:num>
  <w:num w:numId="7">
    <w:abstractNumId w:val="25"/>
  </w:num>
  <w:num w:numId="8">
    <w:abstractNumId w:val="3"/>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4"/>
  </w:num>
  <w:num w:numId="12">
    <w:abstractNumId w:val="23"/>
  </w:num>
  <w:num w:numId="13">
    <w:abstractNumId w:val="6"/>
  </w:num>
  <w:num w:numId="14">
    <w:abstractNumId w:val="11"/>
  </w:num>
  <w:num w:numId="15">
    <w:abstractNumId w:val="18"/>
  </w:num>
  <w:num w:numId="16">
    <w:abstractNumId w:val="8"/>
  </w:num>
  <w:num w:numId="17">
    <w:abstractNumId w:val="7"/>
  </w:num>
  <w:num w:numId="18">
    <w:abstractNumId w:val="10"/>
  </w:num>
  <w:num w:numId="19">
    <w:abstractNumId w:val="0"/>
  </w:num>
  <w:num w:numId="20">
    <w:abstractNumId w:val="19"/>
  </w:num>
  <w:num w:numId="21">
    <w:abstractNumId w:val="21"/>
  </w:num>
  <w:num w:numId="22">
    <w:abstractNumId w:val="17"/>
    <w:lvlOverride w:ilvl="0"/>
    <w:lvlOverride w:ilvl="1">
      <w:startOverride w:val="1"/>
    </w:lvlOverride>
    <w:lvlOverride w:ilvl="2"/>
    <w:lvlOverride w:ilvl="3"/>
    <w:lvlOverride w:ilvl="4"/>
    <w:lvlOverride w:ilvl="5"/>
    <w:lvlOverride w:ilvl="6"/>
    <w:lvlOverride w:ilvl="7"/>
    <w:lvlOverride w:ilvl="8"/>
  </w:num>
  <w:num w:numId="23">
    <w:abstractNumId w:val="20"/>
  </w:num>
  <w:num w:numId="24">
    <w:abstractNumId w:val="15"/>
  </w:num>
  <w:num w:numId="25">
    <w:abstractNumId w:val="17"/>
  </w:num>
  <w:num w:numId="26">
    <w:abstractNumId w:val="5"/>
  </w:num>
  <w:num w:numId="2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E14"/>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6C"/>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428"/>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0E52"/>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9D6"/>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72C"/>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AF5"/>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BD1"/>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124"/>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9DE"/>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3B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B4C"/>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3FC0"/>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24D"/>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2C31"/>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E1D"/>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CD6"/>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080"/>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60C"/>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463"/>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8D0"/>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163"/>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242"/>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3D8"/>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77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4E"/>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3"/>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5D4"/>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16"/>
    <w:rsid w:val="00A9485D"/>
    <w:rsid w:val="00A94DC0"/>
    <w:rsid w:val="00A94E7A"/>
    <w:rsid w:val="00A94FFA"/>
    <w:rsid w:val="00A95128"/>
    <w:rsid w:val="00A9518D"/>
    <w:rsid w:val="00A953AB"/>
    <w:rsid w:val="00A95483"/>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11"/>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299"/>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C77"/>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34"/>
    <w:rsid w:val="00DD06CC"/>
    <w:rsid w:val="00DD06E1"/>
    <w:rsid w:val="00DD0C43"/>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54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3F67"/>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641"/>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23"/>
    <w:rsid w:val="00E701EB"/>
    <w:rsid w:val="00E70385"/>
    <w:rsid w:val="00E70816"/>
    <w:rsid w:val="00E70C4B"/>
    <w:rsid w:val="00E70D17"/>
    <w:rsid w:val="00E70D29"/>
    <w:rsid w:val="00E71149"/>
    <w:rsid w:val="00E71211"/>
    <w:rsid w:val="00E7162E"/>
    <w:rsid w:val="00E716A6"/>
    <w:rsid w:val="00E71ED9"/>
    <w:rsid w:val="00E7247C"/>
    <w:rsid w:val="00E72595"/>
    <w:rsid w:val="00E72FD7"/>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C8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13"/>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3FEB"/>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8D0"/>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B33"/>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20"/>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 w:type="paragraph" w:customStyle="1" w:styleId="Default">
    <w:name w:val="Default"/>
    <w:rsid w:val="0082246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F4302-5D57-4A90-BFFF-CB2C803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2871</Words>
  <Characters>14246</Characters>
  <Application>Microsoft Office Word</Application>
  <DocSecurity>0</DocSecurity>
  <Lines>263</Lines>
  <Paragraphs>159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16958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AKOUM, SALAM</cp:lastModifiedBy>
  <cp:revision>6</cp:revision>
  <dcterms:created xsi:type="dcterms:W3CDTF">2020-10-23T19:46:00Z</dcterms:created>
  <dcterms:modified xsi:type="dcterms:W3CDTF">2020-10-23T20:05:00Z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